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3FDD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napToGrid w:val="0"/>
          <w:kern w:val="0"/>
          <w:sz w:val="36"/>
          <w:szCs w:val="36"/>
          <w:lang w:val="en-US" w:eastAsia="zh-CN"/>
        </w:rPr>
      </w:pPr>
      <w:r>
        <w:rPr>
          <w:rFonts w:hint="eastAsia" w:ascii="宋体" w:hAnsi="宋体" w:eastAsia="宋体" w:cs="宋体"/>
          <w:b/>
          <w:bCs/>
          <w:snapToGrid w:val="0"/>
          <w:kern w:val="0"/>
          <w:sz w:val="36"/>
          <w:szCs w:val="36"/>
          <w:lang w:val="en-US" w:eastAsia="zh-CN"/>
        </w:rPr>
        <w:t>平罗县宁祥煤业有限公司</w:t>
      </w:r>
    </w:p>
    <w:p w14:paraId="0864819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Times New Roman"/>
          <w:snapToGrid w:val="0"/>
          <w:kern w:val="0"/>
          <w:sz w:val="36"/>
          <w:szCs w:val="36"/>
          <w:lang w:eastAsia="zh-CN"/>
        </w:rPr>
      </w:pPr>
      <w:r>
        <w:rPr>
          <w:rFonts w:hint="eastAsia" w:ascii="宋体" w:hAnsi="宋体" w:eastAsia="宋体" w:cs="宋体"/>
          <w:b/>
          <w:bCs/>
          <w:snapToGrid w:val="0"/>
          <w:kern w:val="0"/>
          <w:sz w:val="36"/>
          <w:szCs w:val="36"/>
          <w:lang w:val="en-US" w:eastAsia="zh-CN"/>
        </w:rPr>
        <w:t>环保整治提升工程建设</w:t>
      </w:r>
      <w:r>
        <w:rPr>
          <w:rFonts w:hint="eastAsia" w:ascii="宋体" w:hAnsi="宋体" w:eastAsia="宋体" w:cs="宋体"/>
          <w:b/>
          <w:bCs/>
          <w:snapToGrid w:val="0"/>
          <w:kern w:val="0"/>
          <w:sz w:val="36"/>
          <w:szCs w:val="36"/>
          <w:lang w:eastAsia="zh-CN"/>
        </w:rPr>
        <w:t>项目竣工环境保护验收意见</w:t>
      </w:r>
    </w:p>
    <w:p w14:paraId="78A18056">
      <w:pPr>
        <w:spacing w:line="246" w:lineRule="auto"/>
        <w:rPr>
          <w:rFonts w:hint="eastAsia" w:ascii="宋体" w:hAnsi="宋体" w:eastAsia="宋体" w:cs="宋体"/>
          <w:sz w:val="21"/>
        </w:rPr>
      </w:pPr>
    </w:p>
    <w:p w14:paraId="5E36186A">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Theme="majorEastAsia" w:hAnsiTheme="majorEastAsia" w:eastAsiaTheme="majorEastAsia" w:cstheme="majorEastAsia"/>
          <w:b w:val="0"/>
          <w:snapToGrid w:val="0"/>
          <w:kern w:val="0"/>
          <w:sz w:val="32"/>
          <w:szCs w:val="32"/>
          <w:lang w:val="en-US" w:eastAsia="zh-CN" w:bidi="ar-SA"/>
        </w:rPr>
      </w:pPr>
      <w:r>
        <w:rPr>
          <w:rFonts w:hint="eastAsia" w:asciiTheme="majorEastAsia" w:hAnsiTheme="majorEastAsia" w:eastAsiaTheme="majorEastAsia" w:cstheme="majorEastAsia"/>
          <w:b w:val="0"/>
          <w:snapToGrid w:val="0"/>
          <w:kern w:val="0"/>
          <w:sz w:val="32"/>
          <w:szCs w:val="32"/>
          <w:highlight w:val="green"/>
          <w:lang w:val="en-US" w:eastAsia="en-US" w:bidi="ar-SA"/>
        </w:rPr>
        <w:t>202</w:t>
      </w:r>
      <w:r>
        <w:rPr>
          <w:rFonts w:hint="eastAsia" w:asciiTheme="majorEastAsia" w:hAnsiTheme="majorEastAsia" w:eastAsiaTheme="majorEastAsia" w:cstheme="majorEastAsia"/>
          <w:b w:val="0"/>
          <w:snapToGrid w:val="0"/>
          <w:kern w:val="0"/>
          <w:sz w:val="32"/>
          <w:szCs w:val="32"/>
          <w:highlight w:val="green"/>
          <w:lang w:val="en-US" w:eastAsia="zh-CN" w:bidi="ar-SA"/>
        </w:rPr>
        <w:t>4</w:t>
      </w:r>
      <w:r>
        <w:rPr>
          <w:rFonts w:hint="eastAsia" w:asciiTheme="majorEastAsia" w:hAnsiTheme="majorEastAsia" w:eastAsiaTheme="majorEastAsia" w:cstheme="majorEastAsia"/>
          <w:b w:val="0"/>
          <w:strike w:val="0"/>
          <w:dstrike w:val="0"/>
          <w:snapToGrid w:val="0"/>
          <w:kern w:val="0"/>
          <w:sz w:val="32"/>
          <w:szCs w:val="32"/>
          <w:highlight w:val="green"/>
          <w:lang w:val="en-US" w:eastAsia="en-US" w:bidi="ar-SA"/>
        </w:rPr>
        <w:t>年</w:t>
      </w:r>
      <w:r>
        <w:rPr>
          <w:rFonts w:hint="eastAsia" w:asciiTheme="majorEastAsia" w:hAnsiTheme="majorEastAsia" w:eastAsiaTheme="majorEastAsia" w:cstheme="majorEastAsia"/>
          <w:b w:val="0"/>
          <w:strike w:val="0"/>
          <w:dstrike w:val="0"/>
          <w:snapToGrid w:val="0"/>
          <w:kern w:val="0"/>
          <w:sz w:val="32"/>
          <w:szCs w:val="32"/>
          <w:highlight w:val="green"/>
          <w:lang w:val="en-US" w:eastAsia="zh-CN" w:bidi="ar-SA"/>
        </w:rPr>
        <w:t>6</w:t>
      </w:r>
      <w:r>
        <w:rPr>
          <w:rFonts w:hint="eastAsia" w:asciiTheme="majorEastAsia" w:hAnsiTheme="majorEastAsia" w:eastAsiaTheme="majorEastAsia" w:cstheme="majorEastAsia"/>
          <w:b w:val="0"/>
          <w:strike w:val="0"/>
          <w:dstrike w:val="0"/>
          <w:snapToGrid w:val="0"/>
          <w:kern w:val="0"/>
          <w:sz w:val="32"/>
          <w:szCs w:val="32"/>
          <w:highlight w:val="green"/>
          <w:lang w:val="en-US" w:eastAsia="en-US" w:bidi="ar-SA"/>
        </w:rPr>
        <w:t>月</w:t>
      </w:r>
      <w:r>
        <w:rPr>
          <w:rFonts w:hint="eastAsia" w:asciiTheme="majorEastAsia" w:hAnsiTheme="majorEastAsia" w:eastAsiaTheme="majorEastAsia" w:cstheme="majorEastAsia"/>
          <w:b w:val="0"/>
          <w:strike w:val="0"/>
          <w:dstrike w:val="0"/>
          <w:snapToGrid w:val="0"/>
          <w:kern w:val="0"/>
          <w:sz w:val="32"/>
          <w:szCs w:val="32"/>
          <w:highlight w:val="green"/>
          <w:lang w:val="en-US" w:eastAsia="zh-CN" w:bidi="ar-SA"/>
        </w:rPr>
        <w:t>30</w:t>
      </w:r>
      <w:r>
        <w:rPr>
          <w:rFonts w:hint="eastAsia" w:asciiTheme="majorEastAsia" w:hAnsiTheme="majorEastAsia" w:eastAsiaTheme="majorEastAsia" w:cstheme="majorEastAsia"/>
          <w:b w:val="0"/>
          <w:snapToGrid w:val="0"/>
          <w:kern w:val="0"/>
          <w:sz w:val="32"/>
          <w:szCs w:val="32"/>
          <w:highlight w:val="green"/>
          <w:lang w:val="en-US" w:eastAsia="zh-CN" w:bidi="ar-SA"/>
        </w:rPr>
        <w:t>日</w:t>
      </w:r>
      <w:r>
        <w:rPr>
          <w:rFonts w:hint="eastAsia" w:asciiTheme="majorEastAsia" w:hAnsiTheme="majorEastAsia" w:eastAsiaTheme="majorEastAsia" w:cstheme="majorEastAsia"/>
          <w:b w:val="0"/>
          <w:snapToGrid w:val="0"/>
          <w:kern w:val="0"/>
          <w:sz w:val="32"/>
          <w:szCs w:val="32"/>
          <w:lang w:val="en-US" w:eastAsia="zh-CN" w:bidi="ar-SA"/>
        </w:rPr>
        <w:t>，平罗县宁祥煤业有限公司根据《平罗县宁祥煤业有限公司环保整治提升工程建设项目竣工环境保护验收监测报告》，并对照《建设项目竣工环境保护验收暂行办法》，严格依照国家有关法律法规、建设项目竣工环境保护验收技术指南、本项目环境影响评价报告书和审批部门审批决定等要求对本项目进行验收，提出意见如下：</w:t>
      </w:r>
    </w:p>
    <w:p w14:paraId="7AA3EEC9">
      <w:pPr>
        <w:pStyle w:val="20"/>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Autospacing="0" w:after="0" w:line="360" w:lineRule="auto"/>
        <w:ind w:right="0" w:rightChars="0" w:firstLine="643" w:firstLineChars="200"/>
        <w:jc w:val="both"/>
        <w:textAlignment w:val="auto"/>
        <w:outlineLvl w:val="9"/>
        <w:rPr>
          <w:rFonts w:hint="eastAsia" w:ascii="仿宋" w:hAnsi="仿宋" w:eastAsia="仿宋" w:cs="仿宋"/>
          <w:b/>
          <w:bCs/>
          <w:snapToGrid/>
          <w:color w:val="auto"/>
          <w:kern w:val="2"/>
          <w:sz w:val="32"/>
          <w:szCs w:val="32"/>
          <w:lang w:val="en-US" w:eastAsia="zh-CN" w:bidi="ar-SA"/>
        </w:rPr>
      </w:pPr>
      <w:r>
        <w:rPr>
          <w:rFonts w:hint="eastAsia" w:ascii="仿宋" w:hAnsi="仿宋" w:eastAsia="仿宋" w:cs="仿宋"/>
          <w:b/>
          <w:bCs/>
          <w:snapToGrid/>
          <w:color w:val="auto"/>
          <w:kern w:val="2"/>
          <w:sz w:val="32"/>
          <w:szCs w:val="32"/>
          <w:lang w:val="en-US" w:eastAsia="zh-CN" w:bidi="ar-SA"/>
        </w:rPr>
        <w:t>一、项目建设基本情况</w:t>
      </w:r>
    </w:p>
    <w:p w14:paraId="384DCAAA">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Times New Roman" w:hAnsi="Times New Roman" w:eastAsia="方正仿宋_GBK" w:cs="Times New Roman"/>
          <w:b w:val="0"/>
          <w:snapToGrid w:val="0"/>
          <w:kern w:val="0"/>
          <w:sz w:val="32"/>
          <w:szCs w:val="32"/>
          <w:lang w:val="en-US" w:eastAsia="zh-CN" w:bidi="ar-SA"/>
        </w:rPr>
      </w:pPr>
      <w:r>
        <w:rPr>
          <w:rFonts w:hint="eastAsia" w:ascii="仿宋" w:hAnsi="仿宋" w:eastAsia="仿宋" w:cs="仿宋"/>
          <w:b w:val="0"/>
          <w:snapToGrid w:val="0"/>
          <w:kern w:val="0"/>
          <w:sz w:val="32"/>
          <w:szCs w:val="32"/>
          <w:lang w:val="en-US" w:eastAsia="zh-CN" w:bidi="ar-SA"/>
        </w:rPr>
        <w:t>（一）建设地点、规模、主要建设内容</w:t>
      </w:r>
    </w:p>
    <w:p w14:paraId="0C226378">
      <w:pPr>
        <w:spacing w:line="360" w:lineRule="auto"/>
        <w:ind w:firstLine="723" w:firstLineChars="300"/>
        <w:jc w:val="left"/>
        <w:rPr>
          <w:rFonts w:hint="eastAsia" w:ascii="宋体" w:hAnsi="宋体" w:eastAsia="宋体" w:cs="宋体"/>
          <w:sz w:val="24"/>
          <w:szCs w:val="24"/>
        </w:rPr>
      </w:pPr>
      <w:r>
        <w:rPr>
          <w:rFonts w:hint="eastAsia" w:ascii="宋体" w:hAnsi="宋体" w:eastAsia="宋体" w:cs="宋体"/>
          <w:b/>
          <w:bCs/>
          <w:sz w:val="24"/>
          <w:szCs w:val="24"/>
        </w:rPr>
        <w:t>表1                      项目建设基本情况</w:t>
      </w:r>
    </w:p>
    <w:tbl>
      <w:tblPr>
        <w:tblStyle w:val="11"/>
        <w:tblW w:w="10020"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20"/>
        <w:gridCol w:w="1711"/>
        <w:gridCol w:w="996"/>
        <w:gridCol w:w="831"/>
        <w:gridCol w:w="720"/>
        <w:gridCol w:w="1311"/>
        <w:gridCol w:w="858"/>
        <w:gridCol w:w="2230"/>
      </w:tblGrid>
      <w:tr w14:paraId="44C77E4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20" w:type="dxa"/>
            <w:gridSpan w:val="9"/>
            <w:vAlign w:val="center"/>
          </w:tcPr>
          <w:p w14:paraId="117F55E8">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项目建设基本情况</w:t>
            </w:r>
          </w:p>
        </w:tc>
      </w:tr>
      <w:tr w14:paraId="5DD9EDD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3" w:type="dxa"/>
            <w:vAlign w:val="center"/>
          </w:tcPr>
          <w:p w14:paraId="3E3FD6C9">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建设地点</w:t>
            </w:r>
          </w:p>
        </w:tc>
        <w:tc>
          <w:tcPr>
            <w:tcW w:w="2431" w:type="dxa"/>
            <w:gridSpan w:val="2"/>
            <w:vAlign w:val="center"/>
          </w:tcPr>
          <w:p w14:paraId="78A1BA8A">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SA"/>
              </w:rPr>
              <w:t>石嘴山市崇岗工业园</w:t>
            </w:r>
          </w:p>
        </w:tc>
        <w:tc>
          <w:tcPr>
            <w:tcW w:w="996" w:type="dxa"/>
            <w:vAlign w:val="center"/>
          </w:tcPr>
          <w:p w14:paraId="34B88CCC">
            <w:pPr>
              <w:pStyle w:val="6"/>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建设</w:t>
            </w:r>
          </w:p>
          <w:p w14:paraId="1C646FDA">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性质</w:t>
            </w:r>
          </w:p>
        </w:tc>
        <w:tc>
          <w:tcPr>
            <w:tcW w:w="831" w:type="dxa"/>
            <w:vAlign w:val="center"/>
          </w:tcPr>
          <w:p w14:paraId="11B28308">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技改</w:t>
            </w:r>
          </w:p>
        </w:tc>
        <w:tc>
          <w:tcPr>
            <w:tcW w:w="720" w:type="dxa"/>
            <w:vAlign w:val="center"/>
          </w:tcPr>
          <w:p w14:paraId="7B607749">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产品</w:t>
            </w:r>
          </w:p>
        </w:tc>
        <w:tc>
          <w:tcPr>
            <w:tcW w:w="1311" w:type="dxa"/>
            <w:vAlign w:val="center"/>
          </w:tcPr>
          <w:p w14:paraId="79B8D219">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增碳剂</w:t>
            </w:r>
          </w:p>
        </w:tc>
        <w:tc>
          <w:tcPr>
            <w:tcW w:w="858" w:type="dxa"/>
            <w:vAlign w:val="center"/>
          </w:tcPr>
          <w:p w14:paraId="10A66878">
            <w:pPr>
              <w:pStyle w:val="6"/>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建设</w:t>
            </w:r>
          </w:p>
          <w:p w14:paraId="116C7282">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规模</w:t>
            </w:r>
          </w:p>
        </w:tc>
        <w:tc>
          <w:tcPr>
            <w:tcW w:w="2230" w:type="dxa"/>
            <w:vAlign w:val="center"/>
          </w:tcPr>
          <w:p w14:paraId="5441B6DF">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年产</w:t>
            </w:r>
            <w:r>
              <w:rPr>
                <w:rFonts w:hint="eastAsia" w:ascii="宋体" w:hAnsi="宋体" w:eastAsia="宋体" w:cs="宋体"/>
                <w:sz w:val="21"/>
                <w:szCs w:val="21"/>
                <w:lang w:val="en-US" w:eastAsia="zh-CN"/>
              </w:rPr>
              <w:t>3</w:t>
            </w:r>
            <w:r>
              <w:rPr>
                <w:rFonts w:hint="eastAsia" w:ascii="宋体" w:hAnsi="宋体" w:eastAsia="宋体" w:cs="宋体"/>
                <w:sz w:val="21"/>
                <w:szCs w:val="21"/>
              </w:rPr>
              <w:t>万t/a</w:t>
            </w:r>
          </w:p>
        </w:tc>
      </w:tr>
      <w:tr w14:paraId="66C0E0E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3" w:type="dxa"/>
            <w:vAlign w:val="center"/>
          </w:tcPr>
          <w:p w14:paraId="13BD2557">
            <w:pPr>
              <w:pStyle w:val="6"/>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类别</w:t>
            </w:r>
          </w:p>
        </w:tc>
        <w:tc>
          <w:tcPr>
            <w:tcW w:w="2431" w:type="dxa"/>
            <w:gridSpan w:val="2"/>
            <w:vAlign w:val="center"/>
          </w:tcPr>
          <w:p w14:paraId="4BF5C55E">
            <w:pPr>
              <w:pStyle w:val="6"/>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工程组成</w:t>
            </w:r>
          </w:p>
        </w:tc>
        <w:tc>
          <w:tcPr>
            <w:tcW w:w="6946" w:type="dxa"/>
            <w:gridSpan w:val="6"/>
            <w:vAlign w:val="center"/>
          </w:tcPr>
          <w:p w14:paraId="663E7BAE">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建设内容</w:t>
            </w:r>
          </w:p>
        </w:tc>
      </w:tr>
      <w:tr w14:paraId="1DB00EA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3" w:type="dxa"/>
            <w:vMerge w:val="restart"/>
            <w:vAlign w:val="center"/>
          </w:tcPr>
          <w:p w14:paraId="7B04BC14">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r>
              <w:rPr>
                <w:rFonts w:hint="eastAsia" w:ascii="宋体" w:hAnsi="宋体" w:eastAsia="宋体" w:cs="宋体"/>
                <w:sz w:val="21"/>
                <w:szCs w:val="21"/>
              </w:rPr>
              <w:t>主体工程</w:t>
            </w:r>
          </w:p>
        </w:tc>
        <w:tc>
          <w:tcPr>
            <w:tcW w:w="720" w:type="dxa"/>
            <w:vMerge w:val="restart"/>
            <w:vAlign w:val="center"/>
          </w:tcPr>
          <w:p w14:paraId="75E2A86C">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增碳剂生产车间</w:t>
            </w:r>
          </w:p>
        </w:tc>
        <w:tc>
          <w:tcPr>
            <w:tcW w:w="1711" w:type="dxa"/>
            <w:vAlign w:val="center"/>
          </w:tcPr>
          <w:p w14:paraId="4E4DCBD2">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原料、成品库车</w:t>
            </w:r>
          </w:p>
        </w:tc>
        <w:tc>
          <w:tcPr>
            <w:tcW w:w="6946" w:type="dxa"/>
            <w:gridSpan w:val="6"/>
            <w:vAlign w:val="center"/>
          </w:tcPr>
          <w:p w14:paraId="1B62C58F">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color w:val="auto"/>
                <w:sz w:val="21"/>
                <w:szCs w:val="21"/>
                <w:highlight w:val="none"/>
                <w:lang w:val="en-US" w:eastAsia="zh-CN"/>
              </w:rPr>
              <w:t>全封闭原料、成品库，并安装高压喷雾抑尘装置</w:t>
            </w:r>
          </w:p>
        </w:tc>
      </w:tr>
      <w:tr w14:paraId="29752B7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3" w:type="dxa"/>
            <w:vMerge w:val="continue"/>
            <w:vAlign w:val="center"/>
          </w:tcPr>
          <w:p w14:paraId="650AF8A3">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continue"/>
            <w:vAlign w:val="center"/>
          </w:tcPr>
          <w:p w14:paraId="5AEA8D9A">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45B9299B">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普煅</w:t>
            </w:r>
          </w:p>
          <w:p w14:paraId="4792EC84">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工序</w:t>
            </w:r>
          </w:p>
        </w:tc>
        <w:tc>
          <w:tcPr>
            <w:tcW w:w="6946" w:type="dxa"/>
            <w:gridSpan w:val="6"/>
            <w:vAlign w:val="center"/>
          </w:tcPr>
          <w:p w14:paraId="2F29E42E">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全封闭生产车间，</w:t>
            </w:r>
            <w:r>
              <w:rPr>
                <w:rFonts w:hint="eastAsia" w:ascii="宋体" w:hAnsi="宋体" w:eastAsia="宋体" w:cs="宋体"/>
                <w:bCs/>
                <w:color w:val="auto"/>
                <w:kern w:val="2"/>
                <w:sz w:val="21"/>
                <w:szCs w:val="21"/>
                <w:highlight w:val="none"/>
                <w:lang w:val="en-US" w:eastAsia="zh-CN"/>
              </w:rPr>
              <w:t>2台</w:t>
            </w:r>
            <w:r>
              <w:rPr>
                <w:rFonts w:hint="eastAsia" w:ascii="宋体" w:hAnsi="宋体" w:eastAsia="宋体" w:cs="宋体"/>
                <w:bCs/>
                <w:color w:val="auto"/>
                <w:kern w:val="2"/>
                <w:sz w:val="21"/>
                <w:szCs w:val="21"/>
                <w:highlight w:val="none"/>
              </w:rPr>
              <w:t>普煅炉</w:t>
            </w:r>
            <w:r>
              <w:rPr>
                <w:rFonts w:hint="eastAsia" w:ascii="宋体" w:hAnsi="宋体" w:eastAsia="宋体" w:cs="宋体"/>
                <w:bCs/>
                <w:color w:val="auto"/>
                <w:kern w:val="2"/>
                <w:sz w:val="21"/>
                <w:szCs w:val="21"/>
                <w:highlight w:val="none"/>
                <w:lang w:val="en-US" w:eastAsia="zh-CN"/>
              </w:rPr>
              <w:t>产生的废气经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SNCR 脱硝+单碱法脱硫</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处理后最终通过1根20m高排气筒排放（DA001），在脱硫塔排气筒处安装1套在线监测设施，并联网。</w:t>
            </w:r>
          </w:p>
        </w:tc>
      </w:tr>
      <w:tr w14:paraId="444B4D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43" w:type="dxa"/>
            <w:vMerge w:val="continue"/>
            <w:vAlign w:val="center"/>
          </w:tcPr>
          <w:p w14:paraId="580209B9">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continue"/>
            <w:vAlign w:val="center"/>
          </w:tcPr>
          <w:p w14:paraId="2DFBFBF7">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49B491BC">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破碎</w:t>
            </w:r>
          </w:p>
          <w:p w14:paraId="1612ABC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筛分</w:t>
            </w:r>
          </w:p>
          <w:p w14:paraId="172C940C">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车间</w:t>
            </w:r>
          </w:p>
        </w:tc>
        <w:tc>
          <w:tcPr>
            <w:tcW w:w="6946" w:type="dxa"/>
            <w:gridSpan w:val="6"/>
            <w:vAlign w:val="center"/>
          </w:tcPr>
          <w:p w14:paraId="591E039A">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生产车间全封闭，1#普煅炉上料口、出料口产生的粉尘由集气罩收集后经1套布袋除尘器处理后通过1根15m高排气筒(DA007)排放；2#普煅炉上料口、出料口产生的粉尘由集气罩收集后经1套布袋除尘器处理后通过1根15m高排气筒(DA008)排放；1#破碎筛分产生的粉尘经集气罩收集由布袋除尘器处理通过1根15m高排气筒(DA006)排放；2#破碎筛分产生的粉尘经集气罩收集由布袋除尘器处理通过1根15m高排气筒(DA005)排放。</w:t>
            </w:r>
          </w:p>
        </w:tc>
      </w:tr>
      <w:tr w14:paraId="17D376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3" w:type="dxa"/>
            <w:vMerge w:val="restart"/>
            <w:vAlign w:val="center"/>
          </w:tcPr>
          <w:p w14:paraId="3F6B9B2B">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r>
              <w:rPr>
                <w:rFonts w:hint="eastAsia" w:ascii="宋体" w:hAnsi="宋体" w:eastAsia="宋体" w:cs="宋体"/>
                <w:sz w:val="21"/>
                <w:szCs w:val="21"/>
                <w:lang w:eastAsia="zh-CN"/>
              </w:rPr>
              <w:t>辅助</w:t>
            </w:r>
            <w:r>
              <w:rPr>
                <w:rFonts w:hint="eastAsia" w:ascii="宋体" w:hAnsi="宋体" w:eastAsia="宋体" w:cs="宋体"/>
                <w:sz w:val="21"/>
                <w:szCs w:val="21"/>
              </w:rPr>
              <w:t>工程</w:t>
            </w:r>
          </w:p>
        </w:tc>
        <w:tc>
          <w:tcPr>
            <w:tcW w:w="2431" w:type="dxa"/>
            <w:gridSpan w:val="2"/>
            <w:vAlign w:val="center"/>
          </w:tcPr>
          <w:p w14:paraId="60C048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办公室</w:t>
            </w:r>
          </w:p>
        </w:tc>
        <w:tc>
          <w:tcPr>
            <w:tcW w:w="6946" w:type="dxa"/>
            <w:gridSpan w:val="6"/>
            <w:vAlign w:val="center"/>
          </w:tcPr>
          <w:p w14:paraId="06CB451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依托原有,办公场所，主要用于员工休息、办公室</w:t>
            </w:r>
          </w:p>
        </w:tc>
      </w:tr>
      <w:tr w14:paraId="396D3D9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3" w:type="dxa"/>
            <w:vMerge w:val="continue"/>
            <w:vAlign w:val="center"/>
          </w:tcPr>
          <w:p w14:paraId="757D28C2">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077AF7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 xml:space="preserve"> 库房</w:t>
            </w:r>
          </w:p>
        </w:tc>
        <w:tc>
          <w:tcPr>
            <w:tcW w:w="6946" w:type="dxa"/>
            <w:gridSpan w:val="6"/>
            <w:vAlign w:val="center"/>
          </w:tcPr>
          <w:p w14:paraId="79A36977">
            <w:pPr>
              <w:keepNext w:val="0"/>
              <w:keepLines w:val="0"/>
              <w:widowControl w:val="0"/>
              <w:suppressLineNumbers w:val="0"/>
              <w:spacing w:before="0" w:beforeAutospacing="0" w:after="0" w:afterAutospacing="0"/>
              <w:ind w:left="0" w:right="0" w:rightChars="0"/>
              <w:jc w:val="both"/>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依托原有,库房主要存放生活办公用品</w:t>
            </w:r>
          </w:p>
        </w:tc>
      </w:tr>
      <w:tr w14:paraId="109B99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3" w:type="dxa"/>
            <w:vMerge w:val="continue"/>
            <w:vAlign w:val="center"/>
          </w:tcPr>
          <w:p w14:paraId="466ACD1A">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78A843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供水</w:t>
            </w:r>
          </w:p>
        </w:tc>
        <w:tc>
          <w:tcPr>
            <w:tcW w:w="6946" w:type="dxa"/>
            <w:gridSpan w:val="6"/>
            <w:vAlign w:val="center"/>
          </w:tcPr>
          <w:p w14:paraId="460BF55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由园区供水管网供给</w:t>
            </w:r>
          </w:p>
        </w:tc>
      </w:tr>
      <w:tr w14:paraId="72FEE77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43" w:type="dxa"/>
            <w:vMerge w:val="continue"/>
            <w:vAlign w:val="center"/>
          </w:tcPr>
          <w:p w14:paraId="7B286F17">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624A1E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排水</w:t>
            </w:r>
          </w:p>
        </w:tc>
        <w:tc>
          <w:tcPr>
            <w:tcW w:w="6946" w:type="dxa"/>
            <w:gridSpan w:val="6"/>
            <w:vAlign w:val="center"/>
          </w:tcPr>
          <w:p w14:paraId="18C5C653">
            <w:pPr>
              <w:pStyle w:val="15"/>
              <w:keepNext w:val="0"/>
              <w:keepLines w:val="0"/>
              <w:widowControl w:val="0"/>
              <w:suppressLineNumbers w:val="0"/>
              <w:spacing w:before="35" w:beforeAutospacing="0" w:after="0" w:afterAutospacing="0" w:line="248" w:lineRule="auto"/>
              <w:ind w:left="0" w:right="111" w:rightChars="0"/>
              <w:jc w:val="both"/>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无生产废水排放，</w:t>
            </w:r>
            <w:r>
              <w:rPr>
                <w:rFonts w:hint="eastAsia" w:ascii="宋体" w:hAnsi="宋体" w:eastAsia="宋体" w:cs="宋体"/>
                <w:color w:val="auto"/>
                <w:kern w:val="0"/>
                <w:sz w:val="21"/>
                <w:szCs w:val="21"/>
                <w:highlight w:val="none"/>
                <w:lang w:val="en-US" w:eastAsia="zh-CN"/>
              </w:rPr>
              <w:t>生活污水依托现有化粪池处理后，暂时由吸粪车定期清运处置。</w:t>
            </w:r>
          </w:p>
        </w:tc>
      </w:tr>
      <w:tr w14:paraId="2815950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43" w:type="dxa"/>
            <w:vMerge w:val="continue"/>
            <w:vAlign w:val="center"/>
          </w:tcPr>
          <w:p w14:paraId="3A7518EC">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63104A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供暖</w:t>
            </w:r>
          </w:p>
        </w:tc>
        <w:tc>
          <w:tcPr>
            <w:tcW w:w="6946" w:type="dxa"/>
            <w:gridSpan w:val="6"/>
            <w:vAlign w:val="center"/>
          </w:tcPr>
          <w:p w14:paraId="33B844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生产区无供暖，生活区冬季为电暖器供暖</w:t>
            </w:r>
          </w:p>
        </w:tc>
      </w:tr>
      <w:tr w14:paraId="518DDA7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43" w:type="dxa"/>
            <w:vMerge w:val="continue"/>
            <w:vAlign w:val="center"/>
          </w:tcPr>
          <w:p w14:paraId="2F3AFA61">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5FA588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供电</w:t>
            </w:r>
          </w:p>
        </w:tc>
        <w:tc>
          <w:tcPr>
            <w:tcW w:w="6946" w:type="dxa"/>
            <w:gridSpan w:val="6"/>
            <w:vAlign w:val="center"/>
          </w:tcPr>
          <w:p w14:paraId="3ED9D3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由园区供电管网提供</w:t>
            </w:r>
          </w:p>
        </w:tc>
      </w:tr>
      <w:tr w14:paraId="68D87A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3" w:type="dxa"/>
            <w:vMerge w:val="restart"/>
            <w:vAlign w:val="center"/>
          </w:tcPr>
          <w:p w14:paraId="351E8862">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r>
              <w:rPr>
                <w:rFonts w:hint="eastAsia" w:ascii="宋体" w:hAnsi="宋体" w:eastAsia="宋体" w:cs="宋体"/>
                <w:sz w:val="21"/>
                <w:szCs w:val="21"/>
              </w:rPr>
              <w:t>环保工程</w:t>
            </w:r>
          </w:p>
        </w:tc>
        <w:tc>
          <w:tcPr>
            <w:tcW w:w="720" w:type="dxa"/>
            <w:vMerge w:val="restart"/>
            <w:vAlign w:val="center"/>
          </w:tcPr>
          <w:p w14:paraId="01EDAE3B">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废气</w:t>
            </w:r>
          </w:p>
          <w:p w14:paraId="6A3A818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治理</w:t>
            </w:r>
          </w:p>
        </w:tc>
        <w:tc>
          <w:tcPr>
            <w:tcW w:w="1711" w:type="dxa"/>
            <w:vAlign w:val="center"/>
          </w:tcPr>
          <w:p w14:paraId="5661E20E">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煅烧烟气</w:t>
            </w:r>
          </w:p>
        </w:tc>
        <w:tc>
          <w:tcPr>
            <w:tcW w:w="6946" w:type="dxa"/>
            <w:gridSpan w:val="6"/>
            <w:vAlign w:val="center"/>
          </w:tcPr>
          <w:p w14:paraId="08BB63D3">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2台普煅炉产生的废气经“SNCR 脱硝+单碱法脱硫”处理后最终通过1根20m高排气筒排放（DA001），在脱硫塔排气筒处安装1套在线监测设施，并联网。</w:t>
            </w:r>
          </w:p>
        </w:tc>
      </w:tr>
      <w:tr w14:paraId="023E2E0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3" w:type="dxa"/>
            <w:vMerge w:val="continue"/>
            <w:vAlign w:val="center"/>
          </w:tcPr>
          <w:p w14:paraId="61142976">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720" w:type="dxa"/>
            <w:vMerge w:val="continue"/>
            <w:vAlign w:val="center"/>
          </w:tcPr>
          <w:p w14:paraId="1924D9E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4092B92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破碎筛分粉尘</w:t>
            </w:r>
          </w:p>
        </w:tc>
        <w:tc>
          <w:tcPr>
            <w:tcW w:w="6946" w:type="dxa"/>
            <w:gridSpan w:val="6"/>
            <w:vAlign w:val="center"/>
          </w:tcPr>
          <w:p w14:paraId="67A54CA2">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1#普煅炉上料口、出料口产生的粉尘由集气罩收集后经1套布袋除尘器处理后通过1根15m高排气筒(DA007)排放；2#普煅炉上料口、出料口产生的粉尘由集气罩收集后经1套布袋除尘器处理后通过1根15m高排气筒(DA008)排放；1#破碎筛分产生的粉尘经集气罩收集由布袋除尘器处理通过1根15m高排气筒(DA006)排放；2#破碎筛分产生的粉尘经集气罩收集由布袋除尘器处理通过1根15m高排气筒(DA005)排放。</w:t>
            </w:r>
          </w:p>
        </w:tc>
      </w:tr>
      <w:tr w14:paraId="4B86282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3" w:type="dxa"/>
            <w:vMerge w:val="continue"/>
            <w:vAlign w:val="center"/>
          </w:tcPr>
          <w:p w14:paraId="6928B800">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restart"/>
            <w:vAlign w:val="center"/>
          </w:tcPr>
          <w:p w14:paraId="5117BB7B">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废水</w:t>
            </w:r>
          </w:p>
          <w:p w14:paraId="070A5B12">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治理</w:t>
            </w:r>
          </w:p>
          <w:p w14:paraId="7866E8E8">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4C0956F5">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生活污水</w:t>
            </w:r>
          </w:p>
        </w:tc>
        <w:tc>
          <w:tcPr>
            <w:tcW w:w="6946" w:type="dxa"/>
            <w:gridSpan w:val="6"/>
            <w:vAlign w:val="center"/>
          </w:tcPr>
          <w:p w14:paraId="0D5C9BF4">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生活污水经化粪池处理后，由吸污车定期清运</w:t>
            </w:r>
          </w:p>
        </w:tc>
      </w:tr>
      <w:tr w14:paraId="0A99C0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3" w:type="dxa"/>
            <w:vMerge w:val="continue"/>
            <w:vAlign w:val="center"/>
          </w:tcPr>
          <w:p w14:paraId="43A3C521">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continue"/>
            <w:vAlign w:val="top"/>
          </w:tcPr>
          <w:p w14:paraId="2150625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3C9F70E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初期雨水池</w:t>
            </w:r>
          </w:p>
        </w:tc>
        <w:tc>
          <w:tcPr>
            <w:tcW w:w="6946" w:type="dxa"/>
            <w:gridSpan w:val="6"/>
            <w:vAlign w:val="center"/>
          </w:tcPr>
          <w:p w14:paraId="68411BFF">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已建成初期雨水池</w:t>
            </w:r>
          </w:p>
        </w:tc>
      </w:tr>
      <w:tr w14:paraId="0226801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3" w:type="dxa"/>
            <w:vMerge w:val="continue"/>
            <w:vAlign w:val="center"/>
          </w:tcPr>
          <w:p w14:paraId="279546B7">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continue"/>
            <w:vAlign w:val="top"/>
          </w:tcPr>
          <w:p w14:paraId="350C6A48">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155CCC5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脱硫废水</w:t>
            </w:r>
          </w:p>
        </w:tc>
        <w:tc>
          <w:tcPr>
            <w:tcW w:w="6946" w:type="dxa"/>
            <w:gridSpan w:val="6"/>
            <w:vAlign w:val="center"/>
          </w:tcPr>
          <w:p w14:paraId="5C2F9EAD">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已建设循环沉淀池</w:t>
            </w:r>
          </w:p>
        </w:tc>
      </w:tr>
      <w:tr w14:paraId="40FE114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43" w:type="dxa"/>
            <w:vMerge w:val="continue"/>
            <w:vAlign w:val="center"/>
          </w:tcPr>
          <w:p w14:paraId="3625B033">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2431" w:type="dxa"/>
            <w:gridSpan w:val="2"/>
            <w:vAlign w:val="center"/>
          </w:tcPr>
          <w:p w14:paraId="5F0B69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固废治理</w:t>
            </w:r>
          </w:p>
        </w:tc>
        <w:tc>
          <w:tcPr>
            <w:tcW w:w="6946" w:type="dxa"/>
            <w:gridSpan w:val="6"/>
            <w:vAlign w:val="center"/>
          </w:tcPr>
          <w:p w14:paraId="46D5CC3C">
            <w:pPr>
              <w:pStyle w:val="15"/>
              <w:keepNext w:val="0"/>
              <w:keepLines w:val="0"/>
              <w:widowControl w:val="0"/>
              <w:suppressLineNumbers w:val="0"/>
              <w:spacing w:before="66" w:beforeAutospacing="0" w:after="0" w:afterAutospacing="0" w:line="228" w:lineRule="auto"/>
              <w:ind w:left="0" w:right="0" w:rightChars="0"/>
              <w:jc w:val="both"/>
              <w:rPr>
                <w:rFonts w:hint="eastAsia" w:ascii="宋体" w:hAnsi="宋体" w:eastAsia="宋体" w:cs="宋体"/>
                <w:sz w:val="21"/>
                <w:szCs w:val="21"/>
              </w:rPr>
            </w:pPr>
            <w:r>
              <w:rPr>
                <w:rFonts w:hint="default" w:ascii="宋体" w:hAnsi="宋体" w:eastAsia="宋体" w:cs="宋体"/>
                <w:snapToGrid w:val="0"/>
                <w:color w:val="auto"/>
                <w:kern w:val="0"/>
                <w:sz w:val="21"/>
                <w:szCs w:val="21"/>
                <w:highlight w:val="none"/>
                <w:lang w:val="en-US" w:eastAsia="zh-CN" w:bidi="ar-SA"/>
              </w:rPr>
              <w:t>项目产生的固体废物主要</w:t>
            </w:r>
            <w:r>
              <w:rPr>
                <w:rFonts w:hint="eastAsia" w:ascii="宋体" w:hAnsi="宋体" w:eastAsia="宋体" w:cs="宋体"/>
                <w:snapToGrid w:val="0"/>
                <w:color w:val="auto"/>
                <w:kern w:val="0"/>
                <w:sz w:val="21"/>
                <w:szCs w:val="21"/>
                <w:highlight w:val="none"/>
                <w:lang w:val="en-US" w:eastAsia="zh-CN" w:bidi="ar-SA"/>
              </w:rPr>
              <w:t>为生活垃圾、收尘灰、废包装袋、废机油等，生活垃圾经收集后统一交由园区环卫部门处置；收尘灰收集后回用于生产；废包装袋收集后综合利用；废机油交由有资质单位更换带走处置，不贮存</w:t>
            </w:r>
          </w:p>
        </w:tc>
      </w:tr>
      <w:tr w14:paraId="4D9E5F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vAlign w:val="center"/>
          </w:tcPr>
          <w:p w14:paraId="41C319EC">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2431" w:type="dxa"/>
            <w:gridSpan w:val="2"/>
            <w:vAlign w:val="center"/>
          </w:tcPr>
          <w:p w14:paraId="5878FA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噪声治理</w:t>
            </w:r>
          </w:p>
        </w:tc>
        <w:tc>
          <w:tcPr>
            <w:tcW w:w="6946" w:type="dxa"/>
            <w:gridSpan w:val="6"/>
            <w:vAlign w:val="center"/>
          </w:tcPr>
          <w:p w14:paraId="615348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对新增设备选用低噪声设备，设置隔音、减震措施。</w:t>
            </w:r>
          </w:p>
        </w:tc>
      </w:tr>
    </w:tbl>
    <w:p w14:paraId="363F6699">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w:t>
      </w:r>
      <w:r>
        <w:rPr>
          <w:rFonts w:hint="eastAsia" w:ascii="仿宋" w:hAnsi="仿宋" w:eastAsia="仿宋" w:cs="仿宋"/>
          <w:b w:val="0"/>
          <w:snapToGrid w:val="0"/>
          <w:kern w:val="0"/>
          <w:sz w:val="32"/>
          <w:szCs w:val="32"/>
          <w:lang w:val="en-US" w:eastAsia="zh-CN" w:bidi="ar-SA"/>
        </w:rPr>
        <w:t>二</w:t>
      </w:r>
      <w:r>
        <w:rPr>
          <w:rFonts w:hint="eastAsia" w:ascii="仿宋" w:hAnsi="仿宋" w:eastAsia="仿宋" w:cs="仿宋"/>
          <w:b w:val="0"/>
          <w:snapToGrid w:val="0"/>
          <w:kern w:val="0"/>
          <w:sz w:val="32"/>
          <w:szCs w:val="32"/>
          <w:lang w:val="en-US" w:eastAsia="en-US" w:bidi="ar-SA"/>
        </w:rPr>
        <w:t>）环评审批情况</w:t>
      </w:r>
    </w:p>
    <w:p w14:paraId="26E87828">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cs="仿宋"/>
          <w:b w:val="0"/>
          <w:snapToGrid w:val="0"/>
          <w:kern w:val="0"/>
          <w:sz w:val="32"/>
          <w:szCs w:val="32"/>
          <w:lang w:val="en-US" w:eastAsia="zh-CN" w:bidi="ar-SA"/>
        </w:rPr>
        <w:t>平罗县宁祥煤业</w:t>
      </w:r>
      <w:r>
        <w:rPr>
          <w:rFonts w:hint="eastAsia" w:ascii="仿宋" w:hAnsi="仿宋" w:eastAsia="仿宋" w:cs="仿宋"/>
          <w:b w:val="0"/>
          <w:snapToGrid w:val="0"/>
          <w:kern w:val="0"/>
          <w:sz w:val="32"/>
          <w:szCs w:val="32"/>
          <w:lang w:val="en-US" w:eastAsia="zh-CN" w:bidi="ar-SA"/>
        </w:rPr>
        <w:t>有限公司</w:t>
      </w:r>
      <w:r>
        <w:rPr>
          <w:rFonts w:hint="eastAsia" w:ascii="仿宋" w:hAnsi="仿宋" w:eastAsia="仿宋" w:cs="仿宋"/>
          <w:b w:val="0"/>
          <w:snapToGrid w:val="0"/>
          <w:kern w:val="0"/>
          <w:sz w:val="32"/>
          <w:szCs w:val="32"/>
          <w:lang w:val="en-US" w:eastAsia="en-US" w:bidi="ar-SA"/>
        </w:rPr>
        <w:t>于20</w:t>
      </w:r>
      <w:r>
        <w:rPr>
          <w:rFonts w:hint="eastAsia" w:ascii="仿宋" w:hAnsi="仿宋" w:eastAsia="仿宋" w:cs="仿宋"/>
          <w:b w:val="0"/>
          <w:snapToGrid w:val="0"/>
          <w:kern w:val="0"/>
          <w:sz w:val="32"/>
          <w:szCs w:val="32"/>
          <w:lang w:val="en-US" w:eastAsia="zh-CN" w:bidi="ar-SA"/>
        </w:rPr>
        <w:t>23</w:t>
      </w:r>
      <w:r>
        <w:rPr>
          <w:rFonts w:hint="eastAsia" w:ascii="仿宋" w:hAnsi="仿宋" w:eastAsia="仿宋" w:cs="仿宋"/>
          <w:b w:val="0"/>
          <w:snapToGrid w:val="0"/>
          <w:kern w:val="0"/>
          <w:sz w:val="32"/>
          <w:szCs w:val="32"/>
          <w:lang w:val="en-US" w:eastAsia="en-US" w:bidi="ar-SA"/>
        </w:rPr>
        <w:t>年</w:t>
      </w:r>
      <w:r>
        <w:rPr>
          <w:rFonts w:hint="eastAsia" w:ascii="仿宋" w:hAnsi="仿宋" w:eastAsia="仿宋" w:cs="仿宋"/>
          <w:b w:val="0"/>
          <w:snapToGrid w:val="0"/>
          <w:kern w:val="0"/>
          <w:sz w:val="32"/>
          <w:szCs w:val="32"/>
          <w:lang w:val="en-US" w:eastAsia="zh-CN" w:bidi="ar-SA"/>
        </w:rPr>
        <w:t>11</w:t>
      </w:r>
      <w:r>
        <w:rPr>
          <w:rFonts w:hint="eastAsia" w:ascii="仿宋" w:hAnsi="仿宋" w:eastAsia="仿宋" w:cs="仿宋"/>
          <w:b w:val="0"/>
          <w:snapToGrid w:val="0"/>
          <w:kern w:val="0"/>
          <w:sz w:val="32"/>
          <w:szCs w:val="32"/>
          <w:lang w:val="en-US" w:eastAsia="en-US" w:bidi="ar-SA"/>
        </w:rPr>
        <w:t>月取得</w:t>
      </w:r>
      <w:r>
        <w:rPr>
          <w:rFonts w:hint="eastAsia" w:ascii="仿宋" w:hAnsi="仿宋" w:eastAsia="仿宋" w:cs="仿宋"/>
          <w:b w:val="0"/>
          <w:snapToGrid w:val="0"/>
          <w:kern w:val="0"/>
          <w:sz w:val="32"/>
          <w:szCs w:val="32"/>
          <w:lang w:val="en-US" w:eastAsia="zh-CN" w:bidi="ar-SA"/>
        </w:rPr>
        <w:t>《宁夏平罗工业园区（崇岗园）</w:t>
      </w:r>
      <w:r>
        <w:rPr>
          <w:rFonts w:hint="eastAsia" w:cs="仿宋"/>
          <w:b w:val="0"/>
          <w:snapToGrid w:val="0"/>
          <w:kern w:val="0"/>
          <w:sz w:val="32"/>
          <w:szCs w:val="32"/>
          <w:lang w:val="en-US" w:eastAsia="zh-CN" w:bidi="ar-SA"/>
        </w:rPr>
        <w:t>活性炭</w:t>
      </w:r>
      <w:r>
        <w:rPr>
          <w:rFonts w:hint="eastAsia" w:ascii="仿宋" w:hAnsi="仿宋" w:eastAsia="仿宋" w:cs="仿宋"/>
          <w:b w:val="0"/>
          <w:snapToGrid w:val="0"/>
          <w:kern w:val="0"/>
          <w:sz w:val="32"/>
          <w:szCs w:val="32"/>
          <w:lang w:val="en-US" w:eastAsia="zh-CN" w:bidi="ar-SA"/>
        </w:rPr>
        <w:t>行业环保整治提升工程建设项目环境影响报告表》，宁夏平罗工业园区管理委员会2023年11月24日以宁平管环表〔2023〕12</w:t>
      </w:r>
      <w:r>
        <w:rPr>
          <w:rFonts w:hint="eastAsia" w:cs="仿宋"/>
          <w:b w:val="0"/>
          <w:snapToGrid w:val="0"/>
          <w:kern w:val="0"/>
          <w:sz w:val="32"/>
          <w:szCs w:val="32"/>
          <w:lang w:val="en-US" w:eastAsia="zh-CN" w:bidi="ar-SA"/>
        </w:rPr>
        <w:t>6</w:t>
      </w:r>
      <w:r>
        <w:rPr>
          <w:rFonts w:hint="eastAsia" w:ascii="仿宋" w:hAnsi="仿宋" w:eastAsia="仿宋" w:cs="仿宋"/>
          <w:b w:val="0"/>
          <w:snapToGrid w:val="0"/>
          <w:kern w:val="0"/>
          <w:sz w:val="32"/>
          <w:szCs w:val="32"/>
          <w:lang w:val="en-US" w:eastAsia="zh-CN" w:bidi="ar-SA"/>
        </w:rPr>
        <w:t>号对该项目予以批复。</w:t>
      </w:r>
    </w:p>
    <w:p w14:paraId="4589C0FA">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w:t>
      </w:r>
      <w:r>
        <w:rPr>
          <w:rFonts w:hint="eastAsia" w:ascii="仿宋" w:hAnsi="仿宋" w:eastAsia="仿宋" w:cs="仿宋"/>
          <w:b w:val="0"/>
          <w:snapToGrid w:val="0"/>
          <w:kern w:val="0"/>
          <w:sz w:val="32"/>
          <w:szCs w:val="32"/>
          <w:lang w:val="en-US" w:eastAsia="zh-CN" w:bidi="ar-SA"/>
        </w:rPr>
        <w:t>三</w:t>
      </w:r>
      <w:r>
        <w:rPr>
          <w:rFonts w:hint="eastAsia" w:ascii="仿宋" w:hAnsi="仿宋" w:eastAsia="仿宋" w:cs="仿宋"/>
          <w:b w:val="0"/>
          <w:snapToGrid w:val="0"/>
          <w:kern w:val="0"/>
          <w:sz w:val="32"/>
          <w:szCs w:val="32"/>
          <w:lang w:val="en-US" w:eastAsia="en-US" w:bidi="ar-SA"/>
        </w:rPr>
        <w:t>）投资情况</w:t>
      </w:r>
    </w:p>
    <w:p w14:paraId="4D7DFBBF">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本项目实际总投资为</w:t>
      </w:r>
      <w:r>
        <w:rPr>
          <w:rFonts w:hint="eastAsia" w:cs="仿宋"/>
          <w:b w:val="0"/>
          <w:snapToGrid w:val="0"/>
          <w:kern w:val="0"/>
          <w:sz w:val="32"/>
          <w:szCs w:val="32"/>
          <w:lang w:val="en-US" w:eastAsia="zh-CN" w:bidi="ar-SA"/>
        </w:rPr>
        <w:t>410</w:t>
      </w:r>
      <w:r>
        <w:rPr>
          <w:rFonts w:hint="eastAsia" w:ascii="仿宋" w:hAnsi="仿宋" w:eastAsia="仿宋" w:cs="仿宋"/>
          <w:b w:val="0"/>
          <w:snapToGrid w:val="0"/>
          <w:kern w:val="0"/>
          <w:sz w:val="32"/>
          <w:szCs w:val="32"/>
          <w:lang w:val="en-US" w:eastAsia="en-US" w:bidi="ar-SA"/>
        </w:rPr>
        <w:t>万元，</w:t>
      </w:r>
      <w:r>
        <w:rPr>
          <w:rFonts w:hint="eastAsia" w:cs="仿宋"/>
          <w:b w:val="0"/>
          <w:snapToGrid w:val="0"/>
          <w:kern w:val="0"/>
          <w:sz w:val="32"/>
          <w:szCs w:val="32"/>
          <w:lang w:val="en-US" w:eastAsia="zh-CN" w:bidi="ar-SA"/>
        </w:rPr>
        <w:t>全部用于环保投资</w:t>
      </w:r>
      <w:r>
        <w:rPr>
          <w:rFonts w:hint="eastAsia" w:ascii="仿宋" w:hAnsi="仿宋" w:eastAsia="仿宋" w:cs="仿宋"/>
          <w:b w:val="0"/>
          <w:snapToGrid w:val="0"/>
          <w:kern w:val="0"/>
          <w:sz w:val="32"/>
          <w:szCs w:val="32"/>
          <w:lang w:val="en-US" w:eastAsia="en-US" w:bidi="ar-SA"/>
        </w:rPr>
        <w:t>。</w:t>
      </w:r>
    </w:p>
    <w:p w14:paraId="0F8C998F">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zh-CN" w:bidi="ar-SA"/>
        </w:rPr>
      </w:pPr>
      <w:r>
        <w:rPr>
          <w:rFonts w:hint="eastAsia" w:ascii="仿宋" w:hAnsi="仿宋" w:eastAsia="仿宋" w:cs="仿宋"/>
          <w:b w:val="0"/>
          <w:snapToGrid w:val="0"/>
          <w:kern w:val="0"/>
          <w:sz w:val="32"/>
          <w:szCs w:val="32"/>
          <w:lang w:val="en-US" w:eastAsia="zh-CN" w:bidi="ar-SA"/>
        </w:rPr>
        <w:t>（四）验收范围</w:t>
      </w:r>
    </w:p>
    <w:p w14:paraId="44DBAB94">
      <w:pPr>
        <w:numPr>
          <w:ilvl w:val="0"/>
          <w:numId w:val="0"/>
        </w:numPr>
        <w:spacing w:line="360" w:lineRule="auto"/>
        <w:ind w:firstLine="608" w:firstLineChars="200"/>
        <w:jc w:val="left"/>
        <w:rPr>
          <w:rFonts w:hint="eastAsia" w:ascii="仿宋" w:hAnsi="仿宋" w:eastAsia="仿宋" w:cs="仿宋"/>
          <w:b w:val="0"/>
          <w:snapToGrid w:val="0"/>
          <w:color w:val="000000"/>
          <w:kern w:val="0"/>
          <w:sz w:val="32"/>
          <w:szCs w:val="32"/>
          <w:lang w:val="en-US" w:eastAsia="en-US" w:bidi="ar-SA"/>
        </w:rPr>
      </w:pPr>
      <w:r>
        <w:rPr>
          <w:rFonts w:hint="eastAsia" w:ascii="仿宋" w:hAnsi="仿宋" w:eastAsia="仿宋" w:cs="仿宋"/>
          <w:snapToGrid w:val="0"/>
          <w:color w:val="000000"/>
          <w:spacing w:val="12"/>
          <w:kern w:val="0"/>
          <w:position w:val="16"/>
          <w:sz w:val="28"/>
          <w:szCs w:val="28"/>
          <w:lang w:val="en-US" w:eastAsia="zh-CN" w:bidi="ar-SA"/>
        </w:rPr>
        <w:t xml:space="preserve"> </w:t>
      </w:r>
      <w:r>
        <w:rPr>
          <w:rFonts w:hint="eastAsia" w:ascii="仿宋" w:hAnsi="仿宋" w:eastAsia="仿宋" w:cs="仿宋"/>
          <w:b w:val="0"/>
          <w:snapToGrid w:val="0"/>
          <w:color w:val="000000"/>
          <w:kern w:val="0"/>
          <w:sz w:val="32"/>
          <w:szCs w:val="32"/>
          <w:lang w:val="en-US" w:eastAsia="zh-CN" w:bidi="ar-SA"/>
        </w:rPr>
        <w:t>本次验收只针对平罗县宁祥煤业有限公司“环保整治提升工程建设项目”。</w:t>
      </w:r>
    </w:p>
    <w:p w14:paraId="65133172">
      <w:pPr>
        <w:pStyle w:val="20"/>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Autospacing="0" w:after="0" w:line="480" w:lineRule="auto"/>
        <w:ind w:right="0" w:rightChars="0" w:firstLine="643" w:firstLineChars="200"/>
        <w:jc w:val="both"/>
        <w:textAlignment w:val="auto"/>
        <w:outlineLvl w:val="9"/>
        <w:rPr>
          <w:rFonts w:hint="eastAsia" w:ascii="仿宋" w:hAnsi="仿宋" w:eastAsia="仿宋" w:cs="仿宋"/>
          <w:snapToGrid/>
          <w:color w:val="auto"/>
          <w:kern w:val="2"/>
          <w:sz w:val="32"/>
          <w:szCs w:val="32"/>
          <w:lang w:val="en-US" w:eastAsia="zh-CN" w:bidi="ar-SA"/>
        </w:rPr>
      </w:pPr>
      <w:r>
        <w:rPr>
          <w:rFonts w:hint="eastAsia" w:ascii="仿宋" w:hAnsi="仿宋" w:eastAsia="仿宋" w:cs="仿宋"/>
          <w:b/>
          <w:bCs/>
          <w:snapToGrid/>
          <w:color w:val="auto"/>
          <w:kern w:val="2"/>
          <w:sz w:val="32"/>
          <w:szCs w:val="32"/>
          <w:lang w:val="en-US" w:eastAsia="zh-CN" w:bidi="ar-SA"/>
        </w:rPr>
        <w:t>二、项目变动情况</w:t>
      </w:r>
    </w:p>
    <w:p w14:paraId="1E39BB4F">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经现场勘查及资料查阅，并对照环境影响报告表及环评批复要求，本项目变动情况为：煅烧工序未设袋式除尘。变动原因：项目所用的原料为洗精煤，采用湿法脱硫协同处理后烟（粉）尘完全可满足排放标准要求，故未设置袋式除尘。</w:t>
      </w:r>
    </w:p>
    <w:p w14:paraId="1537AE55">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根据中华人民共和国生态环境部办公厅（关于印发《污染影响类建设项目重大变动清单(试行）》的通知）（环办环评函[2020]668号），本项目变动内容不属于重大变动情况。</w:t>
      </w:r>
    </w:p>
    <w:p w14:paraId="24E71A19">
      <w:pPr>
        <w:pStyle w:val="4"/>
        <w:keepNext w:val="0"/>
        <w:keepLines w:val="0"/>
        <w:pageBreakBefore w:val="0"/>
        <w:wordWrap/>
        <w:overflowPunct/>
        <w:topLinePunct w:val="0"/>
        <w:bidi w:val="0"/>
        <w:adjustRightInd w:val="0"/>
        <w:snapToGrid w:val="0"/>
        <w:spacing w:line="480" w:lineRule="auto"/>
        <w:ind w:left="0" w:leftChars="0" w:right="0" w:rightChars="0" w:firstLine="655" w:firstLineChars="200"/>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三、环境保护设施建设情况</w:t>
      </w:r>
    </w:p>
    <w:p w14:paraId="3A993C97">
      <w:pPr>
        <w:numPr>
          <w:ilvl w:val="0"/>
          <w:numId w:val="0"/>
        </w:numPr>
        <w:spacing w:line="48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 xml:space="preserve"> 1.废气</w:t>
      </w:r>
    </w:p>
    <w:p w14:paraId="19D9E18C">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本项目厂区内产生的有组织废气主要包括普煅生产车间产生的煅烧废气及破碎筛分工序产生的烟（粉）尘。</w:t>
      </w:r>
    </w:p>
    <w:p w14:paraId="4E798FF6">
      <w:pPr>
        <w:numPr>
          <w:ilvl w:val="0"/>
          <w:numId w:val="0"/>
        </w:numPr>
        <w:spacing w:line="48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①普煅工序</w:t>
      </w:r>
    </w:p>
    <w:p w14:paraId="06FF68C4">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普煅炉产生的废气经“SNCR 脱硝+单碱法脱硫塔”处理后，通过1根20m高排气筒排放（DA001），并安装1套在线监测设施。</w:t>
      </w:r>
    </w:p>
    <w:p w14:paraId="5436109E">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default" w:ascii="Calibri" w:hAnsi="Calibri" w:eastAsia="仿宋" w:cs="Calibri"/>
          <w:b w:val="0"/>
          <w:snapToGrid w:val="0"/>
          <w:color w:val="000000"/>
          <w:kern w:val="0"/>
          <w:sz w:val="32"/>
          <w:szCs w:val="32"/>
          <w:lang w:val="en-US" w:eastAsia="zh-CN" w:bidi="ar-SA"/>
        </w:rPr>
        <w:t>②</w:t>
      </w:r>
      <w:r>
        <w:rPr>
          <w:rFonts w:hint="eastAsia" w:ascii="仿宋" w:hAnsi="仿宋" w:eastAsia="仿宋" w:cs="仿宋"/>
          <w:b w:val="0"/>
          <w:snapToGrid w:val="0"/>
          <w:color w:val="000000"/>
          <w:kern w:val="0"/>
          <w:sz w:val="32"/>
          <w:szCs w:val="32"/>
          <w:lang w:val="en-US" w:eastAsia="zh-CN" w:bidi="ar-SA"/>
        </w:rPr>
        <w:t>上料、出料及破碎筛分工序</w:t>
      </w:r>
    </w:p>
    <w:p w14:paraId="06193B32">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1#普煅炉上料口、出料口产生的粉尘由集气罩收集后经1套布袋除尘器处理后通过1根15m高排气筒(DA007)排放；2#普煅炉上料口、出料口产生的粉尘由集气罩收集后经1套布袋除尘器处理后通过1根15m高排气筒(DA008)排放；1#破碎筛分产生的粉尘经集气罩收集由布袋除尘器处理通过1根15m高排气筒(DA006)排放；2#破碎筛分产生的粉尘经集气罩收集由布袋除尘器处理通过1根15m高排气筒(DA005)排放。</w:t>
      </w:r>
    </w:p>
    <w:p w14:paraId="2EBA5DF5">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2 、废水</w:t>
      </w:r>
    </w:p>
    <w:p w14:paraId="7AA60FD5">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en-US" w:bidi="ar-SA"/>
        </w:rPr>
      </w:pPr>
      <w:r>
        <w:rPr>
          <w:rFonts w:hint="eastAsia" w:ascii="仿宋" w:hAnsi="仿宋" w:eastAsia="仿宋" w:cs="仿宋"/>
          <w:b w:val="0"/>
          <w:snapToGrid w:val="0"/>
          <w:color w:val="000000"/>
          <w:kern w:val="0"/>
          <w:sz w:val="32"/>
          <w:szCs w:val="32"/>
          <w:lang w:val="en-US" w:eastAsia="en-US" w:bidi="ar-SA"/>
        </w:rPr>
        <w:t>本工程</w:t>
      </w:r>
      <w:r>
        <w:rPr>
          <w:rFonts w:hint="eastAsia" w:ascii="仿宋" w:hAnsi="仿宋" w:eastAsia="仿宋" w:cs="仿宋"/>
          <w:b w:val="0"/>
          <w:snapToGrid w:val="0"/>
          <w:color w:val="000000"/>
          <w:kern w:val="0"/>
          <w:sz w:val="32"/>
          <w:szCs w:val="32"/>
          <w:lang w:val="en-US" w:eastAsia="zh-CN" w:bidi="ar-SA"/>
        </w:rPr>
        <w:t>主要为生产废水和生活废水，生产废水为脱硫废水，脱硫废水经沉淀后循环利用不外排；</w:t>
      </w:r>
      <w:r>
        <w:rPr>
          <w:rFonts w:hint="eastAsia" w:ascii="仿宋" w:hAnsi="仿宋" w:eastAsia="仿宋" w:cs="仿宋"/>
          <w:b w:val="0"/>
          <w:snapToGrid w:val="0"/>
          <w:color w:val="000000"/>
          <w:kern w:val="0"/>
          <w:sz w:val="32"/>
          <w:szCs w:val="32"/>
          <w:lang w:val="en-US" w:eastAsia="en-US" w:bidi="ar-SA"/>
        </w:rPr>
        <w:t>生活用水经化粪池处理后定期清运。</w:t>
      </w:r>
    </w:p>
    <w:p w14:paraId="1DD6C2B2">
      <w:pPr>
        <w:numPr>
          <w:ilvl w:val="0"/>
          <w:numId w:val="0"/>
        </w:numPr>
        <w:spacing w:line="48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3 、噪声</w:t>
      </w:r>
    </w:p>
    <w:p w14:paraId="327AB53B">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en-US" w:bidi="ar-SA"/>
        </w:rPr>
      </w:pPr>
      <w:r>
        <w:rPr>
          <w:rFonts w:hint="eastAsia" w:ascii="仿宋" w:hAnsi="仿宋" w:eastAsia="仿宋" w:cs="仿宋"/>
          <w:b w:val="0"/>
          <w:snapToGrid w:val="0"/>
          <w:color w:val="000000"/>
          <w:kern w:val="0"/>
          <w:sz w:val="32"/>
          <w:szCs w:val="32"/>
          <w:lang w:val="en-US" w:eastAsia="en-US" w:bidi="ar-SA"/>
        </w:rPr>
        <w:t>本项目噪声源主要来自生产设备运行产生的机械噪声</w:t>
      </w:r>
      <w:r>
        <w:rPr>
          <w:rFonts w:hint="eastAsia" w:ascii="仿宋" w:hAnsi="仿宋" w:eastAsia="仿宋" w:cs="仿宋"/>
          <w:b w:val="0"/>
          <w:snapToGrid w:val="0"/>
          <w:color w:val="000000"/>
          <w:kern w:val="0"/>
          <w:sz w:val="32"/>
          <w:szCs w:val="32"/>
          <w:lang w:val="en-US" w:eastAsia="zh-CN" w:bidi="ar-SA"/>
        </w:rPr>
        <w:t>。</w:t>
      </w:r>
      <w:r>
        <w:rPr>
          <w:rFonts w:hint="eastAsia" w:ascii="仿宋" w:hAnsi="仿宋" w:eastAsia="仿宋" w:cs="仿宋"/>
          <w:b w:val="0"/>
          <w:snapToGrid w:val="0"/>
          <w:color w:val="000000"/>
          <w:kern w:val="0"/>
          <w:sz w:val="32"/>
          <w:szCs w:val="32"/>
          <w:lang w:val="en-US" w:eastAsia="en-US" w:bidi="ar-SA"/>
        </w:rPr>
        <w:t>设备选用了低噪设备，同时在车间、厂区周围建设一定高度的隔声屏障，如围墙，减少对车间外或厂区外声环境的影响，从而在声源上降低设备本身噪声</w:t>
      </w:r>
      <w:r>
        <w:rPr>
          <w:rFonts w:hint="eastAsia" w:ascii="仿宋" w:hAnsi="仿宋" w:eastAsia="仿宋" w:cs="仿宋"/>
          <w:b w:val="0"/>
          <w:snapToGrid w:val="0"/>
          <w:color w:val="000000"/>
          <w:kern w:val="0"/>
          <w:sz w:val="32"/>
          <w:szCs w:val="32"/>
          <w:lang w:val="en-US" w:eastAsia="zh-CN" w:bidi="ar-SA"/>
        </w:rPr>
        <w:t>。</w:t>
      </w:r>
    </w:p>
    <w:p w14:paraId="4CB96068">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4 、 固体废物</w:t>
      </w:r>
    </w:p>
    <w:p w14:paraId="05A45F83">
      <w:pPr>
        <w:numPr>
          <w:ilvl w:val="0"/>
          <w:numId w:val="0"/>
        </w:numPr>
        <w:spacing w:line="360" w:lineRule="auto"/>
        <w:ind w:firstLine="640" w:firstLineChars="200"/>
        <w:jc w:val="left"/>
        <w:rPr>
          <w:rFonts w:hint="eastAsia" w:ascii="仿宋" w:hAnsi="仿宋" w:eastAsia="仿宋" w:cs="仿宋"/>
          <w:b w:val="0"/>
          <w:snapToGrid w:val="0"/>
          <w:color w:val="000000"/>
          <w:kern w:val="0"/>
          <w:sz w:val="36"/>
          <w:szCs w:val="36"/>
          <w:lang w:val="en-US" w:eastAsia="zh-CN" w:bidi="ar-SA"/>
        </w:rPr>
      </w:pPr>
      <w:r>
        <w:rPr>
          <w:rFonts w:hint="eastAsia" w:ascii="仿宋" w:hAnsi="仿宋" w:eastAsia="仿宋" w:cs="仿宋"/>
          <w:b w:val="0"/>
          <w:snapToGrid w:val="0"/>
          <w:color w:val="000000"/>
          <w:kern w:val="0"/>
          <w:sz w:val="32"/>
          <w:szCs w:val="32"/>
          <w:lang w:val="en-US" w:eastAsia="zh-CN" w:bidi="ar-SA"/>
        </w:rPr>
        <w:t>本</w:t>
      </w:r>
      <w:r>
        <w:rPr>
          <w:rFonts w:hint="default" w:ascii="仿宋" w:hAnsi="仿宋" w:eastAsia="仿宋" w:cs="仿宋"/>
          <w:b w:val="0"/>
          <w:snapToGrid w:val="0"/>
          <w:color w:val="000000"/>
          <w:kern w:val="0"/>
          <w:sz w:val="32"/>
          <w:szCs w:val="32"/>
          <w:lang w:val="en-US" w:eastAsia="zh-CN" w:bidi="ar-SA"/>
        </w:rPr>
        <w:t>项目产生的固体废物主要</w:t>
      </w:r>
      <w:r>
        <w:rPr>
          <w:rFonts w:hint="eastAsia" w:ascii="仿宋" w:hAnsi="仿宋" w:eastAsia="仿宋" w:cs="仿宋"/>
          <w:b w:val="0"/>
          <w:snapToGrid w:val="0"/>
          <w:color w:val="000000"/>
          <w:kern w:val="0"/>
          <w:sz w:val="32"/>
          <w:szCs w:val="32"/>
          <w:lang w:val="en-US" w:eastAsia="zh-CN" w:bidi="ar-SA"/>
        </w:rPr>
        <w:t>为生活垃圾、收尘灰、废包装袋、废机油等，生活垃圾经收集后统一交由园区环卫部门处置；收尘灰收集后回用于生产；废包装袋收集后综合利用；废机油交由有资质单位更换带走处置，不贮存。</w:t>
      </w:r>
    </w:p>
    <w:p w14:paraId="291F1E4B">
      <w:pPr>
        <w:pStyle w:val="4"/>
        <w:keepNext w:val="0"/>
        <w:keepLines w:val="0"/>
        <w:pageBreakBefore w:val="0"/>
        <w:wordWrap/>
        <w:overflowPunct/>
        <w:topLinePunct w:val="0"/>
        <w:bidi w:val="0"/>
        <w:adjustRightInd w:val="0"/>
        <w:snapToGrid w:val="0"/>
        <w:spacing w:line="480" w:lineRule="auto"/>
        <w:ind w:left="0" w:leftChars="0" w:right="0" w:rightChars="0"/>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四、环评及批复落实情况</w:t>
      </w:r>
    </w:p>
    <w:p w14:paraId="2DAB8F8B">
      <w:pPr>
        <w:numPr>
          <w:ilvl w:val="0"/>
          <w:numId w:val="0"/>
        </w:numPr>
        <w:spacing w:line="360" w:lineRule="auto"/>
        <w:ind w:firstLine="720" w:firstLineChars="200"/>
        <w:jc w:val="left"/>
        <w:rPr>
          <w:rFonts w:hint="eastAsia" w:ascii="仿宋" w:hAnsi="仿宋" w:eastAsia="仿宋" w:cs="仿宋"/>
          <w:b/>
          <w:bCs/>
          <w:sz w:val="24"/>
          <w:szCs w:val="24"/>
        </w:rPr>
      </w:pPr>
      <w:r>
        <w:rPr>
          <w:rFonts w:hint="eastAsia" w:ascii="仿宋" w:hAnsi="仿宋" w:eastAsia="仿宋" w:cs="仿宋"/>
          <w:b w:val="0"/>
          <w:snapToGrid w:val="0"/>
          <w:color w:val="000000"/>
          <w:kern w:val="0"/>
          <w:sz w:val="36"/>
          <w:szCs w:val="36"/>
          <w:lang w:val="en-US" w:eastAsia="zh-CN" w:bidi="ar-SA"/>
        </w:rPr>
        <w:t>该项目运营期间对环境的影响主要为废水、废气、噪声及固体废物对环境的影响，环保设施落实情况见表2。</w:t>
      </w:r>
    </w:p>
    <w:p w14:paraId="5236BA9B">
      <w:pPr>
        <w:spacing w:line="360" w:lineRule="auto"/>
        <w:jc w:val="both"/>
        <w:rPr>
          <w:rFonts w:hint="eastAsia" w:ascii="仿宋" w:hAnsi="仿宋" w:eastAsia="仿宋" w:cs="仿宋"/>
          <w:b/>
          <w:bCs/>
          <w:szCs w:val="21"/>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项目环保措施落实情况</w:t>
      </w:r>
    </w:p>
    <w:tbl>
      <w:tblPr>
        <w:tblStyle w:val="11"/>
        <w:tblW w:w="980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343"/>
        <w:gridCol w:w="3248"/>
        <w:gridCol w:w="717"/>
        <w:gridCol w:w="2919"/>
      </w:tblGrid>
      <w:tr w14:paraId="7CF5AE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573" w:type="dxa"/>
            <w:vAlign w:val="center"/>
          </w:tcPr>
          <w:p w14:paraId="7DD3226F">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环评中要求落实的污染治理项目</w:t>
            </w:r>
          </w:p>
        </w:tc>
        <w:tc>
          <w:tcPr>
            <w:tcW w:w="1343" w:type="dxa"/>
            <w:vAlign w:val="center"/>
          </w:tcPr>
          <w:p w14:paraId="090EE1E5">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污染物名称</w:t>
            </w:r>
          </w:p>
        </w:tc>
        <w:tc>
          <w:tcPr>
            <w:tcW w:w="3248" w:type="dxa"/>
            <w:vAlign w:val="center"/>
          </w:tcPr>
          <w:p w14:paraId="402327E2">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环评中污染治理措施</w:t>
            </w:r>
          </w:p>
        </w:tc>
        <w:tc>
          <w:tcPr>
            <w:tcW w:w="717" w:type="dxa"/>
            <w:vAlign w:val="center"/>
          </w:tcPr>
          <w:p w14:paraId="310480A4">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环评变更情况</w:t>
            </w:r>
          </w:p>
        </w:tc>
        <w:tc>
          <w:tcPr>
            <w:tcW w:w="2919" w:type="dxa"/>
            <w:vAlign w:val="center"/>
          </w:tcPr>
          <w:p w14:paraId="2F618D00">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实际落实情况</w:t>
            </w:r>
          </w:p>
        </w:tc>
      </w:tr>
      <w:tr w14:paraId="130A4D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1573" w:type="dxa"/>
            <w:vMerge w:val="restart"/>
            <w:vAlign w:val="center"/>
          </w:tcPr>
          <w:p w14:paraId="1457CA7F">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有组织废气</w:t>
            </w:r>
          </w:p>
        </w:tc>
        <w:tc>
          <w:tcPr>
            <w:tcW w:w="1343" w:type="dxa"/>
            <w:vAlign w:val="center"/>
          </w:tcPr>
          <w:p w14:paraId="1A773B1E">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煅烧烟气</w:t>
            </w:r>
          </w:p>
        </w:tc>
        <w:tc>
          <w:tcPr>
            <w:tcW w:w="3248" w:type="dxa"/>
            <w:vAlign w:val="center"/>
          </w:tcPr>
          <w:p w14:paraId="08A646B5">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zh-CN" w:bidi="ar-SA"/>
              </w:rPr>
              <w:t>采用“SNCR 脱硝（本次新增）+袋式除尘+单碱法脱硫（本次新增）处理后由排气筒排放，编号DA001。综合除尘效率为99.5%，脱硫效率为65%，脱硝效率为40%。企业安装在线监测装置并联网。</w:t>
            </w:r>
          </w:p>
        </w:tc>
        <w:tc>
          <w:tcPr>
            <w:tcW w:w="717" w:type="dxa"/>
            <w:vAlign w:val="center"/>
          </w:tcPr>
          <w:p w14:paraId="26E22D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变更</w:t>
            </w:r>
          </w:p>
        </w:tc>
        <w:tc>
          <w:tcPr>
            <w:tcW w:w="2919" w:type="dxa"/>
            <w:vAlign w:val="center"/>
          </w:tcPr>
          <w:p w14:paraId="4293F41C">
            <w:pPr>
              <w:keepNext w:val="0"/>
              <w:keepLines w:val="0"/>
              <w:widowControl/>
              <w:suppressLineNumbers w:val="0"/>
              <w:spacing w:before="0" w:beforeAutospacing="0" w:after="0" w:afterAutospacing="0"/>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2台普煅炉产生的废气经“SNCR脱硝+单碱法脱硫”处理后最终通过1根20m高排气筒排放（DA001），在脱硫塔排气筒处安装1套在线监测设施并联网。</w:t>
            </w:r>
          </w:p>
          <w:p w14:paraId="554EBCA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Cs/>
                <w:color w:val="auto"/>
                <w:kern w:val="2"/>
                <w:sz w:val="21"/>
                <w:szCs w:val="21"/>
                <w:highlight w:val="none"/>
                <w:lang w:eastAsia="zh-CN"/>
              </w:rPr>
              <w:t>普煅炉烟气处理采用单减法脱硫，根据国家不同除尘方式的除尘效率及相关数据分析，湿法脱硫具有一定的除尘效果，公司未单独增设布袋除尘器</w:t>
            </w:r>
            <w:r>
              <w:rPr>
                <w:rFonts w:hint="eastAsia" w:ascii="宋体" w:hAnsi="宋体" w:eastAsia="宋体" w:cs="宋体"/>
                <w:color w:val="auto"/>
                <w:kern w:val="2"/>
                <w:sz w:val="21"/>
                <w:szCs w:val="21"/>
                <w:lang w:eastAsia="zh-CN"/>
              </w:rPr>
              <w:t>。</w:t>
            </w:r>
          </w:p>
        </w:tc>
      </w:tr>
      <w:tr w14:paraId="768C75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1573" w:type="dxa"/>
            <w:vMerge w:val="continue"/>
            <w:vAlign w:val="center"/>
          </w:tcPr>
          <w:p w14:paraId="56B06B1F">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p>
        </w:tc>
        <w:tc>
          <w:tcPr>
            <w:tcW w:w="1343" w:type="dxa"/>
            <w:vAlign w:val="center"/>
          </w:tcPr>
          <w:p w14:paraId="118C2AE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破碎筛分粉尘</w:t>
            </w:r>
          </w:p>
        </w:tc>
        <w:tc>
          <w:tcPr>
            <w:tcW w:w="3248" w:type="dxa"/>
            <w:vAlign w:val="center"/>
          </w:tcPr>
          <w:p w14:paraId="2486C24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安装袋式除尘器，经处理后</w:t>
            </w:r>
            <w:r>
              <w:rPr>
                <w:rFonts w:hint="eastAsia" w:ascii="宋体" w:hAnsi="宋体" w:eastAsia="宋体" w:cs="宋体"/>
                <w:snapToGrid w:val="0"/>
                <w:color w:val="000000"/>
                <w:kern w:val="0"/>
                <w:sz w:val="21"/>
                <w:szCs w:val="21"/>
                <w:lang w:val="en-US" w:eastAsia="zh-CN" w:bidi="ar-SA"/>
              </w:rPr>
              <w:t>粉尘</w:t>
            </w:r>
            <w:r>
              <w:rPr>
                <w:rFonts w:hint="eastAsia" w:ascii="宋体" w:hAnsi="宋体" w:eastAsia="宋体" w:cs="宋体"/>
                <w:snapToGrid w:val="0"/>
                <w:color w:val="000000"/>
                <w:kern w:val="0"/>
                <w:sz w:val="21"/>
                <w:szCs w:val="21"/>
                <w:lang w:val="en-US" w:eastAsia="en-US" w:bidi="ar-SA"/>
              </w:rPr>
              <w:t>经15m高排气筒排放，排气筒编号DA00</w:t>
            </w:r>
            <w:r>
              <w:rPr>
                <w:rFonts w:hint="eastAsia" w:ascii="宋体" w:hAnsi="宋体" w:eastAsia="宋体" w:cs="宋体"/>
                <w:snapToGrid w:val="0"/>
                <w:color w:val="000000"/>
                <w:kern w:val="0"/>
                <w:sz w:val="21"/>
                <w:szCs w:val="21"/>
                <w:lang w:val="en-US" w:eastAsia="zh-CN" w:bidi="ar-SA"/>
              </w:rPr>
              <w:t>2。</w:t>
            </w:r>
          </w:p>
        </w:tc>
        <w:tc>
          <w:tcPr>
            <w:tcW w:w="717" w:type="dxa"/>
            <w:vAlign w:val="center"/>
          </w:tcPr>
          <w:p w14:paraId="7F019C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c>
          <w:tcPr>
            <w:tcW w:w="2919" w:type="dxa"/>
            <w:vAlign w:val="center"/>
          </w:tcPr>
          <w:p w14:paraId="1DB9ADC3">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1#普煅炉上料口、出料口产生的粉尘由集气罩收集后经1套布袋除尘器处理后通过1根15m高排气筒(DA007)排放；2#普煅炉上料口、出料口产生的粉尘由集气罩收集后经1套布袋除尘器处理后通过1根15m高排气筒(DA008)排放；1#破碎筛分产生的粉尘经集气罩收集由布袋除尘器处理通过1根15m高排气筒(DA006)排放；2#破碎筛分产生的粉尘经集气罩收集由布袋除尘器处理通过1根15m高排气筒(DA005)排放。</w:t>
            </w:r>
          </w:p>
        </w:tc>
      </w:tr>
      <w:tr w14:paraId="4B7AA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73" w:type="dxa"/>
            <w:vMerge w:val="restart"/>
            <w:vAlign w:val="top"/>
          </w:tcPr>
          <w:p w14:paraId="1BBF3172">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宋体" w:hAnsi="宋体" w:eastAsia="宋体" w:cs="宋体"/>
                <w:b/>
                <w:bCs/>
                <w:sz w:val="21"/>
                <w:szCs w:val="21"/>
              </w:rPr>
            </w:pPr>
          </w:p>
          <w:p w14:paraId="7F303207">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宋体" w:hAnsi="宋体" w:eastAsia="宋体" w:cs="宋体"/>
                <w:b/>
                <w:bCs/>
                <w:sz w:val="21"/>
                <w:szCs w:val="21"/>
              </w:rPr>
            </w:pPr>
          </w:p>
          <w:p w14:paraId="71938541">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宋体" w:hAnsi="宋体" w:eastAsia="宋体" w:cs="宋体"/>
                <w:b/>
                <w:bCs/>
                <w:sz w:val="21"/>
                <w:szCs w:val="21"/>
              </w:rPr>
            </w:pPr>
            <w:r>
              <w:rPr>
                <w:rFonts w:hint="eastAsia" w:ascii="宋体" w:hAnsi="宋体" w:eastAsia="宋体" w:cs="宋体"/>
                <w:b/>
                <w:bCs/>
                <w:sz w:val="21"/>
                <w:szCs w:val="21"/>
              </w:rPr>
              <w:t>废水</w:t>
            </w:r>
          </w:p>
        </w:tc>
        <w:tc>
          <w:tcPr>
            <w:tcW w:w="1343" w:type="dxa"/>
            <w:vAlign w:val="center"/>
          </w:tcPr>
          <w:p w14:paraId="7665375F">
            <w:pPr>
              <w:keepNext w:val="0"/>
              <w:keepLines w:val="0"/>
              <w:widowControl/>
              <w:suppressLineNumbers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生产废水</w:t>
            </w:r>
          </w:p>
        </w:tc>
        <w:tc>
          <w:tcPr>
            <w:tcW w:w="3248" w:type="dxa"/>
            <w:vAlign w:val="center"/>
          </w:tcPr>
          <w:p w14:paraId="28A92D92">
            <w:pPr>
              <w:keepNext w:val="0"/>
              <w:keepLines w:val="0"/>
              <w:widowControl/>
              <w:suppressLineNumbers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脱硫废水经沉淀后循环使用，不外排</w:t>
            </w:r>
          </w:p>
        </w:tc>
        <w:tc>
          <w:tcPr>
            <w:tcW w:w="717" w:type="dxa"/>
            <w:vAlign w:val="center"/>
          </w:tcPr>
          <w:p w14:paraId="382AA870">
            <w:pPr>
              <w:keepNext w:val="0"/>
              <w:keepLines w:val="0"/>
              <w:widowControl/>
              <w:suppressLineNumbers w:val="0"/>
              <w:snapToGrid w:val="0"/>
              <w:spacing w:before="0" w:beforeAutospacing="0" w:after="0" w:afterAutospacing="0"/>
              <w:ind w:left="0" w:right="0"/>
              <w:jc w:val="center"/>
              <w:rPr>
                <w:rFonts w:hint="eastAsia" w:ascii="宋体" w:hAnsi="宋体" w:eastAsia="宋体" w:cs="宋体"/>
                <w:spacing w:val="-3"/>
                <w:sz w:val="21"/>
                <w:szCs w:val="21"/>
              </w:rPr>
            </w:pPr>
            <w:r>
              <w:rPr>
                <w:rFonts w:hint="eastAsia" w:ascii="宋体" w:hAnsi="宋体" w:eastAsia="宋体" w:cs="宋体"/>
                <w:sz w:val="21"/>
                <w:szCs w:val="21"/>
              </w:rPr>
              <w:t>无</w:t>
            </w:r>
          </w:p>
        </w:tc>
        <w:tc>
          <w:tcPr>
            <w:tcW w:w="2919" w:type="dxa"/>
            <w:vAlign w:val="center"/>
          </w:tcPr>
          <w:p w14:paraId="0C33DB21">
            <w:pPr>
              <w:keepNext w:val="0"/>
              <w:keepLines w:val="0"/>
              <w:widowControl/>
              <w:suppressLineNumbers w:val="0"/>
              <w:snapToGrid w:val="0"/>
              <w:spacing w:before="0" w:beforeAutospacing="0" w:after="0" w:afterAutospacing="0"/>
              <w:ind w:left="0" w:right="0"/>
              <w:jc w:val="center"/>
              <w:rPr>
                <w:rFonts w:hint="eastAsia" w:ascii="宋体" w:hAnsi="宋体" w:eastAsia="宋体" w:cs="宋体"/>
                <w:spacing w:val="-3"/>
                <w:sz w:val="21"/>
                <w:szCs w:val="21"/>
              </w:rPr>
            </w:pPr>
            <w:r>
              <w:rPr>
                <w:rFonts w:hint="eastAsia" w:ascii="宋体" w:hAnsi="宋体" w:eastAsia="宋体" w:cs="宋体"/>
                <w:snapToGrid w:val="0"/>
                <w:color w:val="auto"/>
                <w:kern w:val="0"/>
                <w:sz w:val="21"/>
                <w:szCs w:val="21"/>
                <w:highlight w:val="none"/>
                <w:lang w:val="en-US" w:eastAsia="zh-CN" w:bidi="ar-SA"/>
              </w:rPr>
              <w:t>脱硫废水经沉淀后循环使用，不外排</w:t>
            </w:r>
          </w:p>
        </w:tc>
      </w:tr>
      <w:tr w14:paraId="0971D0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1573" w:type="dxa"/>
            <w:vMerge w:val="continue"/>
            <w:vAlign w:val="top"/>
          </w:tcPr>
          <w:p w14:paraId="0E0E2B9C">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宋体" w:hAnsi="宋体" w:eastAsia="宋体" w:cs="宋体"/>
                <w:b/>
                <w:bCs/>
                <w:sz w:val="21"/>
                <w:szCs w:val="21"/>
              </w:rPr>
            </w:pPr>
          </w:p>
        </w:tc>
        <w:tc>
          <w:tcPr>
            <w:tcW w:w="1343" w:type="dxa"/>
            <w:vAlign w:val="center"/>
          </w:tcPr>
          <w:p w14:paraId="72ABBD84">
            <w:pPr>
              <w:keepNext w:val="0"/>
              <w:keepLines w:val="0"/>
              <w:widowControl/>
              <w:suppressLineNumbers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生活污水</w:t>
            </w:r>
          </w:p>
        </w:tc>
        <w:tc>
          <w:tcPr>
            <w:tcW w:w="3248" w:type="dxa"/>
            <w:vAlign w:val="center"/>
          </w:tcPr>
          <w:p w14:paraId="68C900B9">
            <w:pPr>
              <w:keepNext w:val="0"/>
              <w:keepLines w:val="0"/>
              <w:widowControl/>
              <w:suppressLineNumbers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生活污水依托现有化粪池处理后，暂时由吸粪车定期清运处置，待园区管网接通后排入园区管网，最终排入平罗县崇岗煤炭集中区污水处理站进行处理。</w:t>
            </w:r>
          </w:p>
        </w:tc>
        <w:tc>
          <w:tcPr>
            <w:tcW w:w="717" w:type="dxa"/>
            <w:vAlign w:val="center"/>
          </w:tcPr>
          <w:p w14:paraId="30121F76">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无</w:t>
            </w:r>
          </w:p>
        </w:tc>
        <w:tc>
          <w:tcPr>
            <w:tcW w:w="2919" w:type="dxa"/>
            <w:vAlign w:val="center"/>
          </w:tcPr>
          <w:p w14:paraId="71350B6A">
            <w:pPr>
              <w:keepNext w:val="0"/>
              <w:keepLines w:val="0"/>
              <w:widowControl/>
              <w:suppressLineNumbers w:val="0"/>
              <w:snapToGrid w:val="0"/>
              <w:spacing w:before="0" w:beforeAutospacing="0" w:after="0" w:afterAutospacing="0"/>
              <w:ind w:left="0" w:right="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zh-CN" w:bidi="ar-SA"/>
              </w:rPr>
              <w:t>生活污水经化粪池处理后，由吸污车定期清运</w:t>
            </w:r>
          </w:p>
        </w:tc>
      </w:tr>
      <w:tr w14:paraId="656BE6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573" w:type="dxa"/>
            <w:vAlign w:val="top"/>
          </w:tcPr>
          <w:p w14:paraId="035AE2B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p>
          <w:p w14:paraId="2F8ACC7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p>
          <w:p w14:paraId="5206437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p>
          <w:p w14:paraId="696BF8BB">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p>
          <w:p w14:paraId="03B8B27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固废</w:t>
            </w:r>
          </w:p>
        </w:tc>
        <w:tc>
          <w:tcPr>
            <w:tcW w:w="1343" w:type="dxa"/>
            <w:vAlign w:val="center"/>
          </w:tcPr>
          <w:p w14:paraId="2D97979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危险废物</w:t>
            </w:r>
          </w:p>
        </w:tc>
        <w:tc>
          <w:tcPr>
            <w:tcW w:w="3248" w:type="dxa"/>
            <w:vAlign w:val="center"/>
          </w:tcPr>
          <w:p w14:paraId="39F051A2">
            <w:pPr>
              <w:pStyle w:val="19"/>
              <w:keepNext w:val="0"/>
              <w:keepLines w:val="0"/>
              <w:widowControl/>
              <w:suppressLineNumbers w:val="0"/>
              <w:spacing w:before="0" w:beforeAutospacing="0" w:after="0" w:afterAutospacing="0"/>
              <w:ind w:right="0"/>
              <w:jc w:val="both"/>
              <w:rPr>
                <w:rFonts w:hint="eastAsia" w:ascii="宋体" w:hAnsi="宋体" w:eastAsia="宋体" w:cs="宋体"/>
                <w:sz w:val="21"/>
                <w:szCs w:val="21"/>
              </w:rPr>
            </w:pPr>
            <w:r>
              <w:rPr>
                <w:rFonts w:hint="eastAsia" w:ascii="宋体" w:hAnsi="宋体" w:eastAsia="宋体" w:cs="宋体"/>
                <w:sz w:val="21"/>
                <w:szCs w:val="21"/>
              </w:rPr>
              <w:t>废机油经危险废物暂存间暂存后，交由有资质单位安全处置。</w:t>
            </w:r>
          </w:p>
        </w:tc>
        <w:tc>
          <w:tcPr>
            <w:tcW w:w="717" w:type="dxa"/>
            <w:vAlign w:val="center"/>
          </w:tcPr>
          <w:p w14:paraId="7F4F96E4">
            <w:pPr>
              <w:pStyle w:val="19"/>
              <w:keepNext w:val="0"/>
              <w:keepLines w:val="0"/>
              <w:widowControl/>
              <w:suppressLineNumbers w:val="0"/>
              <w:spacing w:before="0" w:beforeAutospacing="0" w:after="0" w:afterAutospacing="0"/>
              <w:ind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变更</w:t>
            </w:r>
          </w:p>
        </w:tc>
        <w:tc>
          <w:tcPr>
            <w:tcW w:w="2919" w:type="dxa"/>
            <w:vAlign w:val="center"/>
          </w:tcPr>
          <w:p w14:paraId="26DBA2EC">
            <w:pPr>
              <w:pStyle w:val="15"/>
              <w:keepNext w:val="0"/>
              <w:keepLines w:val="0"/>
              <w:widowControl w:val="0"/>
              <w:suppressLineNumbers w:val="0"/>
              <w:spacing w:before="66" w:beforeAutospacing="0" w:after="0" w:afterAutospacing="0" w:line="228" w:lineRule="auto"/>
              <w:ind w:left="0" w:leftChars="0" w:right="0" w:rightChars="0"/>
              <w:jc w:val="both"/>
              <w:rPr>
                <w:rFonts w:hint="eastAsia" w:ascii="宋体" w:hAnsi="宋体" w:eastAsia="宋体" w:cs="宋体"/>
                <w:snapToGrid w:val="0"/>
                <w:color w:val="000000"/>
                <w:kern w:val="0"/>
                <w:sz w:val="21"/>
                <w:szCs w:val="21"/>
                <w:lang w:val="en-US" w:eastAsia="en-US" w:bidi="ar-SA"/>
              </w:rPr>
            </w:pPr>
            <w:r>
              <w:rPr>
                <w:rFonts w:hint="default" w:ascii="宋体" w:hAnsi="宋体" w:eastAsia="宋体" w:cs="宋体"/>
                <w:snapToGrid w:val="0"/>
                <w:color w:val="auto"/>
                <w:kern w:val="0"/>
                <w:sz w:val="21"/>
                <w:szCs w:val="21"/>
                <w:highlight w:val="none"/>
                <w:lang w:val="en-US" w:eastAsia="zh-CN" w:bidi="ar-SA"/>
              </w:rPr>
              <w:t>项目产生的固体废物主要</w:t>
            </w:r>
            <w:r>
              <w:rPr>
                <w:rFonts w:hint="eastAsia" w:ascii="宋体" w:hAnsi="宋体" w:eastAsia="宋体" w:cs="宋体"/>
                <w:snapToGrid w:val="0"/>
                <w:color w:val="auto"/>
                <w:kern w:val="0"/>
                <w:sz w:val="21"/>
                <w:szCs w:val="21"/>
                <w:highlight w:val="none"/>
                <w:lang w:val="en-US" w:eastAsia="zh-CN" w:bidi="ar-SA"/>
              </w:rPr>
              <w:t>为生活垃圾、收尘灰、废包装袋、废机油等，生活垃圾经收集后统一交由园区环卫部门处置；收尘灰收集后回用于生产；废包装袋收集后综合利用；废机油交由有资质单位更换带走处置，不贮存</w:t>
            </w:r>
            <w:r>
              <w:rPr>
                <w:rFonts w:hint="eastAsia" w:cs="宋体"/>
                <w:snapToGrid w:val="0"/>
                <w:color w:val="auto"/>
                <w:kern w:val="0"/>
                <w:sz w:val="21"/>
                <w:szCs w:val="21"/>
                <w:highlight w:val="none"/>
                <w:lang w:val="en-US" w:eastAsia="zh-CN" w:bidi="ar-SA"/>
              </w:rPr>
              <w:t>。</w:t>
            </w:r>
          </w:p>
        </w:tc>
      </w:tr>
      <w:tr w14:paraId="29B1CE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916" w:type="dxa"/>
            <w:gridSpan w:val="2"/>
            <w:vAlign w:val="top"/>
          </w:tcPr>
          <w:p w14:paraId="5E8B5C82">
            <w:pPr>
              <w:pStyle w:val="19"/>
              <w:keepNext w:val="0"/>
              <w:keepLines w:val="0"/>
              <w:widowControl/>
              <w:suppressLineNumbers w:val="0"/>
              <w:spacing w:before="0" w:beforeAutospacing="0" w:after="0" w:afterAutospacing="0"/>
              <w:ind w:right="0"/>
              <w:rPr>
                <w:rFonts w:hint="eastAsia" w:ascii="宋体" w:hAnsi="宋体" w:eastAsia="宋体" w:cs="宋体"/>
                <w:sz w:val="21"/>
                <w:szCs w:val="21"/>
              </w:rPr>
            </w:pPr>
          </w:p>
          <w:p w14:paraId="5BA4E882">
            <w:pPr>
              <w:pStyle w:val="19"/>
              <w:keepNext w:val="0"/>
              <w:keepLines w:val="0"/>
              <w:widowControl/>
              <w:suppressLineNumbers w:val="0"/>
              <w:spacing w:before="0" w:beforeAutospacing="0" w:after="0" w:afterAutospacing="0"/>
              <w:ind w:right="0"/>
              <w:rPr>
                <w:rFonts w:hint="eastAsia" w:ascii="宋体" w:hAnsi="宋体" w:eastAsia="宋体" w:cs="宋体"/>
                <w:sz w:val="21"/>
                <w:szCs w:val="21"/>
              </w:rPr>
            </w:pPr>
            <w:r>
              <w:rPr>
                <w:rFonts w:hint="eastAsia" w:ascii="宋体" w:hAnsi="宋体" w:eastAsia="宋体" w:cs="宋体"/>
                <w:b/>
                <w:bCs/>
                <w:sz w:val="21"/>
                <w:szCs w:val="21"/>
              </w:rPr>
              <w:t>噪声</w:t>
            </w:r>
          </w:p>
        </w:tc>
        <w:tc>
          <w:tcPr>
            <w:tcW w:w="3248" w:type="dxa"/>
            <w:vAlign w:val="center"/>
          </w:tcPr>
          <w:p w14:paraId="47B1606B">
            <w:pPr>
              <w:pStyle w:val="19"/>
              <w:keepNext w:val="0"/>
              <w:keepLines w:val="0"/>
              <w:widowControl/>
              <w:suppressLineNumbers w:val="0"/>
              <w:spacing w:before="0" w:beforeAutospacing="0" w:after="0" w:afterAutospacing="0"/>
              <w:ind w:right="0"/>
              <w:rPr>
                <w:rFonts w:hint="eastAsia" w:ascii="宋体" w:hAnsi="宋体" w:eastAsia="宋体" w:cs="宋体"/>
                <w:sz w:val="21"/>
                <w:szCs w:val="21"/>
              </w:rPr>
            </w:pPr>
            <w:r>
              <w:rPr>
                <w:rFonts w:hint="eastAsia" w:ascii="宋体" w:hAnsi="宋体" w:eastAsia="宋体" w:cs="宋体"/>
                <w:kern w:val="0"/>
                <w:sz w:val="21"/>
                <w:szCs w:val="21"/>
              </w:rPr>
              <w:t>选用低噪声设备、隔声减振措施等</w:t>
            </w:r>
          </w:p>
        </w:tc>
        <w:tc>
          <w:tcPr>
            <w:tcW w:w="717" w:type="dxa"/>
            <w:vAlign w:val="center"/>
          </w:tcPr>
          <w:p w14:paraId="4E136BB5">
            <w:pPr>
              <w:pStyle w:val="19"/>
              <w:keepNext w:val="0"/>
              <w:keepLines w:val="0"/>
              <w:widowControl/>
              <w:suppressLineNumbers w:val="0"/>
              <w:spacing w:before="0" w:beforeAutospacing="0" w:after="0" w:afterAutospacing="0"/>
              <w:ind w:right="0"/>
              <w:rPr>
                <w:rFonts w:hint="eastAsia" w:ascii="宋体" w:hAnsi="宋体" w:eastAsia="宋体" w:cs="宋体"/>
                <w:kern w:val="0"/>
                <w:sz w:val="21"/>
                <w:szCs w:val="21"/>
              </w:rPr>
            </w:pPr>
            <w:r>
              <w:rPr>
                <w:rFonts w:hint="eastAsia" w:ascii="宋体" w:hAnsi="宋体" w:eastAsia="宋体" w:cs="宋体"/>
                <w:sz w:val="21"/>
                <w:szCs w:val="21"/>
              </w:rPr>
              <w:t>无</w:t>
            </w:r>
          </w:p>
        </w:tc>
        <w:tc>
          <w:tcPr>
            <w:tcW w:w="2919" w:type="dxa"/>
            <w:vAlign w:val="center"/>
          </w:tcPr>
          <w:p w14:paraId="3E2D88A3">
            <w:pPr>
              <w:pStyle w:val="19"/>
              <w:keepNext w:val="0"/>
              <w:keepLines w:val="0"/>
              <w:widowControl/>
              <w:suppressLineNumbers w:val="0"/>
              <w:spacing w:before="0" w:beforeAutospacing="0" w:after="0" w:afterAutospacing="0"/>
              <w:ind w:right="0"/>
              <w:jc w:val="both"/>
              <w:rPr>
                <w:rFonts w:hint="eastAsia" w:ascii="宋体" w:hAnsi="宋体" w:eastAsia="宋体" w:cs="宋体"/>
                <w:sz w:val="21"/>
                <w:szCs w:val="21"/>
              </w:rPr>
            </w:pPr>
            <w:r>
              <w:rPr>
                <w:rFonts w:hint="eastAsia" w:ascii="宋体" w:hAnsi="宋体" w:eastAsia="宋体" w:cs="宋体"/>
                <w:kern w:val="0"/>
                <w:sz w:val="21"/>
                <w:szCs w:val="21"/>
              </w:rPr>
              <w:t>实际选用低噪声设备、隔声减振措施等</w:t>
            </w:r>
          </w:p>
        </w:tc>
      </w:tr>
    </w:tbl>
    <w:p w14:paraId="3397D0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08" w:firstLineChars="200"/>
        <w:jc w:val="both"/>
        <w:textAlignment w:val="auto"/>
        <w:rPr>
          <w:rFonts w:hint="eastAsia" w:ascii="仿宋" w:hAnsi="仿宋" w:eastAsia="仿宋" w:cs="仿宋"/>
          <w:snapToGrid w:val="0"/>
          <w:color w:val="000000"/>
          <w:spacing w:val="12"/>
          <w:kern w:val="0"/>
          <w:position w:val="16"/>
          <w:sz w:val="28"/>
          <w:szCs w:val="28"/>
          <w:lang w:val="en-US" w:eastAsia="zh-CN" w:bidi="ar-SA"/>
        </w:rPr>
      </w:pPr>
      <w:r>
        <w:rPr>
          <w:rFonts w:hint="eastAsia" w:ascii="仿宋" w:hAnsi="仿宋" w:eastAsia="仿宋" w:cs="仿宋"/>
          <w:snapToGrid w:val="0"/>
          <w:color w:val="000000"/>
          <w:spacing w:val="12"/>
          <w:kern w:val="0"/>
          <w:position w:val="16"/>
          <w:sz w:val="28"/>
          <w:szCs w:val="28"/>
          <w:lang w:val="en-US" w:eastAsia="zh-CN" w:bidi="ar-SA"/>
        </w:rPr>
        <w:t>经现场检查，“环评”及批复要求内容部分得到落实。</w:t>
      </w:r>
    </w:p>
    <w:p w14:paraId="66EDB27D">
      <w:pPr>
        <w:pStyle w:val="4"/>
        <w:keepNext w:val="0"/>
        <w:keepLines w:val="0"/>
        <w:pageBreakBefore w:val="0"/>
        <w:wordWrap/>
        <w:overflowPunct/>
        <w:topLinePunct w:val="0"/>
        <w:bidi w:val="0"/>
        <w:adjustRightInd w:val="0"/>
        <w:snapToGrid w:val="0"/>
        <w:spacing w:line="480" w:lineRule="auto"/>
        <w:ind w:left="0" w:leftChars="0" w:right="0" w:rightChars="0"/>
        <w:outlineLvl w:val="0"/>
        <w:rPr>
          <w:rFonts w:hint="eastAsia" w:ascii="仿宋" w:hAnsi="仿宋" w:eastAsia="仿宋" w:cs="仿宋"/>
          <w:b/>
          <w:bCs/>
          <w:spacing w:val="3"/>
          <w:sz w:val="30"/>
          <w:szCs w:val="30"/>
          <w:lang w:eastAsia="zh-CN"/>
        </w:rPr>
      </w:pPr>
      <w:r>
        <w:rPr>
          <w:rFonts w:hint="eastAsia" w:ascii="仿宋" w:hAnsi="仿宋" w:eastAsia="仿宋" w:cs="仿宋"/>
          <w:b/>
          <w:bCs/>
          <w:spacing w:val="3"/>
          <w:sz w:val="30"/>
          <w:szCs w:val="30"/>
          <w:lang w:eastAsia="zh-CN"/>
        </w:rPr>
        <w:t>五、环保设施调试效果（监测结果）</w:t>
      </w:r>
    </w:p>
    <w:p w14:paraId="2E31BB78">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（1）有组织废气</w:t>
      </w:r>
    </w:p>
    <w:p w14:paraId="1AD1B313">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DA001脱硫塔排气筒排放口颗粒物最大浓度为15.9mg/m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，二氧化硫排放平均浓度为4mg/m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，氮氧化物排放平均浓度为12mg/m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，均符合</w:t>
      </w:r>
      <w:r>
        <w:rPr>
          <w:rFonts w:hint="default" w:ascii="仿宋" w:hAnsi="仿宋" w:eastAsia="仿宋" w:cs="仿宋"/>
          <w:b w:val="0"/>
          <w:snapToGrid w:val="0"/>
          <w:color w:val="000000"/>
          <w:kern w:val="0"/>
          <w:sz w:val="32"/>
          <w:szCs w:val="32"/>
          <w:lang w:val="en-US" w:eastAsia="zh-CN" w:bidi="ar-SA"/>
        </w:rPr>
        <w:t>《工业炉窑大气污染综合治理方案》(环大气(2019)56号)</w:t>
      </w:r>
      <w:r>
        <w:rPr>
          <w:rFonts w:hint="eastAsia" w:ascii="仿宋" w:hAnsi="仿宋" w:eastAsia="仿宋" w:cs="仿宋"/>
          <w:b w:val="0"/>
          <w:snapToGrid w:val="0"/>
          <w:color w:val="000000"/>
          <w:kern w:val="0"/>
          <w:sz w:val="32"/>
          <w:szCs w:val="32"/>
          <w:lang w:val="en-US" w:eastAsia="zh-CN" w:bidi="ar-SA"/>
        </w:rPr>
        <w:t>排放限值；氨气最大排放浓度为1.9 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 xml:space="preserve"> ，符合《火电厂烟气脱硝工程技术规范选择性非催化还原法》（HJ563-2010）限值要求。</w:t>
      </w:r>
    </w:p>
    <w:p w14:paraId="4D66BC64">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DA001脱硫塔排气筒排放口脱硫效率范围为86.1～89.7%，脱硝效率范围为82.7～86.7%，达到环评批复（脱硫效率65%，脱硝效率为40%）的要求；除尘效率为94.7～95.4%，未达到环评批复（除尘效率99.5%）的要求。</w:t>
      </w:r>
    </w:p>
    <w:p w14:paraId="1C6FF6E1">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DA007 1#除尘器排气筒颗粒物排放平均浓度和排放速率分别为34.2mg/m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、8.5</w:t>
      </w:r>
      <w:r>
        <w:rPr>
          <w:rFonts w:hint="default" w:ascii="仿宋" w:hAnsi="仿宋" w:eastAsia="仿宋" w:cs="仿宋"/>
          <w:b w:val="0"/>
          <w:snapToGrid w:val="0"/>
          <w:color w:val="000000"/>
          <w:kern w:val="0"/>
          <w:sz w:val="32"/>
          <w:szCs w:val="32"/>
          <w:lang w:val="en-US" w:eastAsia="zh-CN" w:bidi="ar-SA"/>
        </w:rPr>
        <w:t>×</w:t>
      </w:r>
      <w:r>
        <w:rPr>
          <w:rFonts w:hint="eastAsia" w:ascii="仿宋" w:hAnsi="仿宋" w:eastAsia="仿宋" w:cs="仿宋"/>
          <w:b w:val="0"/>
          <w:snapToGrid w:val="0"/>
          <w:color w:val="000000"/>
          <w:kern w:val="0"/>
          <w:sz w:val="32"/>
          <w:szCs w:val="32"/>
          <w:lang w:val="en-US" w:eastAsia="zh-CN" w:bidi="ar-SA"/>
        </w:rPr>
        <w:t>10-3㎏/h ；DA008 2#除尘器排气筒颗粒物排放平均浓度和排放速率分别为34.0mg/m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、0.014㎏/h ；DA006 3#除尘器排气筒颗粒物排放平均浓度和排放速率分别为32.7mg/m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、1.11㎏/h ；DA005 4#除尘器排气筒颗粒物排放平均浓度和排放速率分别为34.8mg/m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、0.18㎏/h ，满足《大气污染物综合排放标准》(GB16297-1996)表 2 排放限值。除尘效率为99.5%，达到环评批复（除尘效率99.5%）要求。</w:t>
      </w:r>
    </w:p>
    <w:p w14:paraId="03B4622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（2）无组织废气</w:t>
      </w:r>
    </w:p>
    <w:p w14:paraId="474D940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640" w:firstLineChars="200"/>
        <w:jc w:val="left"/>
        <w:textAlignment w:val="baseline"/>
        <w:outlineLvl w:val="0"/>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验收监测期间，本项目厂界无组织排放颗粒物最大浓度值为0.857mg/m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、二氧化硫未检出，检测结果均满足《大气污染物综合排放标准》（GB16297-1996）表2标准限值。</w:t>
      </w:r>
    </w:p>
    <w:p w14:paraId="1913F3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（3）噪声</w:t>
      </w:r>
    </w:p>
    <w:p w14:paraId="41094A0F">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验收监测期间，本项目厂界噪声昼间测量值范围为56～58dB（A）、夜间测量值范围为46～48dB（A），均满足《工业企业厂界环境噪声排放标准》（GB12348-2008）3类区标准限值的要求。</w:t>
      </w:r>
    </w:p>
    <w:p w14:paraId="78316595">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（4） 固体废物</w:t>
      </w:r>
    </w:p>
    <w:p w14:paraId="75A6CD83">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w:t>
      </w:r>
      <w:r>
        <w:rPr>
          <w:rFonts w:hint="default" w:ascii="仿宋" w:hAnsi="仿宋" w:eastAsia="仿宋" w:cs="仿宋"/>
          <w:b w:val="0"/>
          <w:snapToGrid w:val="0"/>
          <w:color w:val="000000"/>
          <w:kern w:val="0"/>
          <w:sz w:val="32"/>
          <w:szCs w:val="32"/>
          <w:lang w:val="en-US" w:eastAsia="zh-CN" w:bidi="ar-SA"/>
        </w:rPr>
        <w:t>项目产生的固体废物主要</w:t>
      </w:r>
      <w:r>
        <w:rPr>
          <w:rFonts w:hint="eastAsia" w:ascii="仿宋" w:hAnsi="仿宋" w:eastAsia="仿宋" w:cs="仿宋"/>
          <w:b w:val="0"/>
          <w:snapToGrid w:val="0"/>
          <w:color w:val="000000"/>
          <w:kern w:val="0"/>
          <w:sz w:val="32"/>
          <w:szCs w:val="32"/>
          <w:lang w:val="en-US" w:eastAsia="zh-CN" w:bidi="ar-SA"/>
        </w:rPr>
        <w:t>为生活垃圾、收尘灰、废包装袋、废机油等，生活垃圾经收集后统一交由园区环卫部门处置；收尘灰收集后回用于生产；废包装袋收集后综合利用；废机油交由有资质单位更换带走处置，不贮存。</w:t>
      </w:r>
    </w:p>
    <w:p w14:paraId="218C9186">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（5）废水</w:t>
      </w:r>
    </w:p>
    <w:p w14:paraId="2ACC8A18">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本项目产生废水主要为生产废水和生活污水，脱硫废水循环使用不外排，生活污水经现有化粪池处理后，由吸污车定期清运。</w:t>
      </w:r>
    </w:p>
    <w:p w14:paraId="2D54B98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right="0" w:rightChars="0"/>
        <w:textAlignment w:val="baseline"/>
        <w:outlineLvl w:val="0"/>
        <w:rPr>
          <w:rFonts w:hint="eastAsia" w:ascii="仿宋" w:hAnsi="仿宋" w:eastAsia="仿宋" w:cs="仿宋"/>
          <w:b/>
          <w:bCs/>
          <w:spacing w:val="3"/>
          <w:sz w:val="30"/>
          <w:szCs w:val="30"/>
          <w:lang w:eastAsia="zh-CN"/>
        </w:rPr>
      </w:pPr>
      <w:r>
        <w:rPr>
          <w:rFonts w:hint="eastAsia" w:ascii="仿宋" w:hAnsi="仿宋" w:eastAsia="仿宋" w:cs="仿宋"/>
          <w:b/>
          <w:bCs/>
          <w:spacing w:val="3"/>
          <w:sz w:val="30"/>
          <w:szCs w:val="30"/>
          <w:lang w:eastAsia="zh-CN"/>
        </w:rPr>
        <w:t>六、验收结论</w:t>
      </w:r>
    </w:p>
    <w:p w14:paraId="44B050C6">
      <w:pPr>
        <w:numPr>
          <w:ilvl w:val="0"/>
          <w:numId w:val="0"/>
        </w:numPr>
        <w:spacing w:line="360" w:lineRule="auto"/>
        <w:ind w:firstLine="640" w:firstLineChars="200"/>
        <w:jc w:val="both"/>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按照《建设项目环境保护管理条例（修订）》和《建设项目竣工环境保护验收暂行办法》等要求，平罗县宁祥煤业有限公司环保整治提升工程在建设过程中，按照国家建设项目环境保护相关制度要求，落实了环评报告及其审批文件中提出的污染防治措施。企业</w:t>
      </w:r>
    </w:p>
    <w:p w14:paraId="5A8A9B84">
      <w:pPr>
        <w:pStyle w:val="2"/>
        <w:rPr>
          <w:rFonts w:hint="eastAsia" w:ascii="仿宋" w:hAnsi="仿宋" w:eastAsia="仿宋" w:cs="仿宋"/>
          <w:b w:val="0"/>
          <w:snapToGrid w:val="0"/>
          <w:color w:val="000000"/>
          <w:kern w:val="0"/>
          <w:sz w:val="32"/>
          <w:szCs w:val="32"/>
          <w:lang w:val="en-US" w:eastAsia="zh-CN" w:bidi="ar-SA"/>
        </w:rPr>
      </w:pPr>
      <w:r>
        <w:drawing>
          <wp:inline distT="0" distB="0" distL="114300" distR="114300">
            <wp:extent cx="5837555" cy="7926070"/>
            <wp:effectExtent l="0" t="0" r="10795" b="17780"/>
            <wp:docPr id="6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0"/>
                    <pic:cNvPicPr>
                      <a:picLocks noChangeAspect="1"/>
                    </pic:cNvPicPr>
                  </pic:nvPicPr>
                  <pic:blipFill>
                    <a:blip r:embed="rId8"/>
                    <a:stretch>
                      <a:fillRect/>
                    </a:stretch>
                  </pic:blipFill>
                  <pic:spPr>
                    <a:xfrm>
                      <a:off x="0" y="0"/>
                      <a:ext cx="5837555" cy="7926070"/>
                    </a:xfrm>
                    <a:prstGeom prst="rect">
                      <a:avLst/>
                    </a:prstGeom>
                    <a:noFill/>
                    <a:ln>
                      <a:noFill/>
                    </a:ln>
                  </pic:spPr>
                </pic:pic>
              </a:graphicData>
            </a:graphic>
          </wp:inline>
        </w:drawing>
      </w:r>
      <w:bookmarkStart w:id="0" w:name="_GoBack"/>
      <w:bookmarkEnd w:id="0"/>
    </w:p>
    <w:p w14:paraId="6EEC8804">
      <w:pPr>
        <w:rPr>
          <w:rFonts w:hint="eastAsia"/>
          <w:lang w:val="en-US" w:eastAsia="zh-CN"/>
        </w:rPr>
      </w:pPr>
    </w:p>
    <w:sectPr>
      <w:headerReference r:id="rId5" w:type="default"/>
      <w:footerReference r:id="rId6" w:type="default"/>
      <w:pgSz w:w="11910" w:h="16840"/>
      <w:pgMar w:top="1763" w:right="1021" w:bottom="1786" w:left="1429" w:header="102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636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4F95">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3.75pt;margin-top:-19.5pt;height:144pt;width:144pt;mso-position-horizontal-relative:margin;mso-wrap-style:none;z-index:251659264;mso-width-relative:page;mso-height-relative:page;" filled="f" stroked="f" coordsize="21600,21600" o:gfxdata="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IEFF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06014F95">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BBA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E1YjAzOTkxZWQ2MGMyOTlmZDBlMTkzMTMwYTBhMjUifQ=="/>
    <w:docVar w:name="KSO_WPS_MARK_KEY" w:val="c0556aee-fe05-49d8-b550-29469773f819"/>
  </w:docVars>
  <w:rsids>
    <w:rsidRoot w:val="00000000"/>
    <w:rsid w:val="000A002F"/>
    <w:rsid w:val="00FA00A3"/>
    <w:rsid w:val="01673C9F"/>
    <w:rsid w:val="01CC4F00"/>
    <w:rsid w:val="03AC0546"/>
    <w:rsid w:val="03B75989"/>
    <w:rsid w:val="048D224E"/>
    <w:rsid w:val="049F33D0"/>
    <w:rsid w:val="05104339"/>
    <w:rsid w:val="055E32F7"/>
    <w:rsid w:val="05B2653C"/>
    <w:rsid w:val="06000C23"/>
    <w:rsid w:val="06021ED4"/>
    <w:rsid w:val="070E2946"/>
    <w:rsid w:val="075E75DE"/>
    <w:rsid w:val="07DB29DD"/>
    <w:rsid w:val="08102C0B"/>
    <w:rsid w:val="082C148A"/>
    <w:rsid w:val="085B0CD1"/>
    <w:rsid w:val="08AE7DBE"/>
    <w:rsid w:val="094D16B8"/>
    <w:rsid w:val="0A6C1E8A"/>
    <w:rsid w:val="0B077F8D"/>
    <w:rsid w:val="0B8E03D6"/>
    <w:rsid w:val="0BC55E7E"/>
    <w:rsid w:val="0C281F69"/>
    <w:rsid w:val="0C8F2E5B"/>
    <w:rsid w:val="0C9803A8"/>
    <w:rsid w:val="0CB75E87"/>
    <w:rsid w:val="0CEF32BC"/>
    <w:rsid w:val="0D2F1988"/>
    <w:rsid w:val="0E1E7AC7"/>
    <w:rsid w:val="0F2C6214"/>
    <w:rsid w:val="0F9C5147"/>
    <w:rsid w:val="0FD55B7E"/>
    <w:rsid w:val="10033270"/>
    <w:rsid w:val="103A04BC"/>
    <w:rsid w:val="105B16D7"/>
    <w:rsid w:val="108300B5"/>
    <w:rsid w:val="10B22749"/>
    <w:rsid w:val="10D01719"/>
    <w:rsid w:val="110374AC"/>
    <w:rsid w:val="11196324"/>
    <w:rsid w:val="11551A52"/>
    <w:rsid w:val="11E626AA"/>
    <w:rsid w:val="121F5BBC"/>
    <w:rsid w:val="12547942"/>
    <w:rsid w:val="12EC6F36"/>
    <w:rsid w:val="12F12582"/>
    <w:rsid w:val="138E124B"/>
    <w:rsid w:val="13CC4F08"/>
    <w:rsid w:val="15093C99"/>
    <w:rsid w:val="155E4C4D"/>
    <w:rsid w:val="15E8253D"/>
    <w:rsid w:val="162437A1"/>
    <w:rsid w:val="163A1216"/>
    <w:rsid w:val="16610551"/>
    <w:rsid w:val="169258C0"/>
    <w:rsid w:val="171657DF"/>
    <w:rsid w:val="175E0F34"/>
    <w:rsid w:val="17BD3F5D"/>
    <w:rsid w:val="17D21371"/>
    <w:rsid w:val="18023FB5"/>
    <w:rsid w:val="18052EFC"/>
    <w:rsid w:val="188A457C"/>
    <w:rsid w:val="189739A1"/>
    <w:rsid w:val="18982224"/>
    <w:rsid w:val="18A94431"/>
    <w:rsid w:val="1A321E6D"/>
    <w:rsid w:val="1A553EAF"/>
    <w:rsid w:val="1ABD41C4"/>
    <w:rsid w:val="1AC27242"/>
    <w:rsid w:val="1B041DF3"/>
    <w:rsid w:val="1B724FAE"/>
    <w:rsid w:val="1B7500EC"/>
    <w:rsid w:val="1BC872C4"/>
    <w:rsid w:val="1BF105C9"/>
    <w:rsid w:val="1CCB2BC8"/>
    <w:rsid w:val="1DB55626"/>
    <w:rsid w:val="1E562965"/>
    <w:rsid w:val="1E8C6387"/>
    <w:rsid w:val="1E9F2C0D"/>
    <w:rsid w:val="1F26058A"/>
    <w:rsid w:val="1F3A4035"/>
    <w:rsid w:val="1FDB75C6"/>
    <w:rsid w:val="2075700A"/>
    <w:rsid w:val="21570ECE"/>
    <w:rsid w:val="216F08F9"/>
    <w:rsid w:val="22743FF0"/>
    <w:rsid w:val="22CC31F6"/>
    <w:rsid w:val="23103A2A"/>
    <w:rsid w:val="2353363F"/>
    <w:rsid w:val="2429042B"/>
    <w:rsid w:val="2529439A"/>
    <w:rsid w:val="25757B75"/>
    <w:rsid w:val="25D87A61"/>
    <w:rsid w:val="25E22D30"/>
    <w:rsid w:val="267A11BB"/>
    <w:rsid w:val="26962499"/>
    <w:rsid w:val="26B34390"/>
    <w:rsid w:val="27327AF9"/>
    <w:rsid w:val="27AE2B3A"/>
    <w:rsid w:val="27F86286"/>
    <w:rsid w:val="28CD5F1A"/>
    <w:rsid w:val="28DC4AF1"/>
    <w:rsid w:val="28FE2577"/>
    <w:rsid w:val="29695C42"/>
    <w:rsid w:val="299718A4"/>
    <w:rsid w:val="2A1E21FB"/>
    <w:rsid w:val="2A305142"/>
    <w:rsid w:val="2A3A75DF"/>
    <w:rsid w:val="2A8D5961"/>
    <w:rsid w:val="2B1D5AAB"/>
    <w:rsid w:val="2B4A5600"/>
    <w:rsid w:val="2BAC1E16"/>
    <w:rsid w:val="2BB36F05"/>
    <w:rsid w:val="2BFF463C"/>
    <w:rsid w:val="2C064C4C"/>
    <w:rsid w:val="2C1874AC"/>
    <w:rsid w:val="2CA438AB"/>
    <w:rsid w:val="2D1144BD"/>
    <w:rsid w:val="2D145EC5"/>
    <w:rsid w:val="2D40754A"/>
    <w:rsid w:val="2DC11C6B"/>
    <w:rsid w:val="2DFE18A3"/>
    <w:rsid w:val="2E08621E"/>
    <w:rsid w:val="2E9B3275"/>
    <w:rsid w:val="2EE45D6B"/>
    <w:rsid w:val="2FBE7946"/>
    <w:rsid w:val="2FC00586"/>
    <w:rsid w:val="2FE222AB"/>
    <w:rsid w:val="307C26FF"/>
    <w:rsid w:val="30F63D2B"/>
    <w:rsid w:val="30F71E40"/>
    <w:rsid w:val="31523460"/>
    <w:rsid w:val="31723B02"/>
    <w:rsid w:val="31EE13DB"/>
    <w:rsid w:val="32284808"/>
    <w:rsid w:val="32673B9F"/>
    <w:rsid w:val="3316226B"/>
    <w:rsid w:val="33423060"/>
    <w:rsid w:val="33AA1331"/>
    <w:rsid w:val="356664ED"/>
    <w:rsid w:val="36EC3A0F"/>
    <w:rsid w:val="36F6663C"/>
    <w:rsid w:val="37410014"/>
    <w:rsid w:val="37D270A9"/>
    <w:rsid w:val="38A61E1E"/>
    <w:rsid w:val="39394F28"/>
    <w:rsid w:val="395A55A8"/>
    <w:rsid w:val="3A5D24A2"/>
    <w:rsid w:val="3AB13CCA"/>
    <w:rsid w:val="3ADF1837"/>
    <w:rsid w:val="3B007A89"/>
    <w:rsid w:val="3B160354"/>
    <w:rsid w:val="3B2E0A9A"/>
    <w:rsid w:val="3B893F22"/>
    <w:rsid w:val="3BB23479"/>
    <w:rsid w:val="3BC92571"/>
    <w:rsid w:val="3C3B356A"/>
    <w:rsid w:val="3CEF6007"/>
    <w:rsid w:val="3D0A2131"/>
    <w:rsid w:val="3D474095"/>
    <w:rsid w:val="3E232DDE"/>
    <w:rsid w:val="3E2C6DE7"/>
    <w:rsid w:val="3E6277DF"/>
    <w:rsid w:val="3ECB6D63"/>
    <w:rsid w:val="3F526DAF"/>
    <w:rsid w:val="3FA4132B"/>
    <w:rsid w:val="401A15ED"/>
    <w:rsid w:val="403705BE"/>
    <w:rsid w:val="405A40DF"/>
    <w:rsid w:val="40C003E6"/>
    <w:rsid w:val="412E44D1"/>
    <w:rsid w:val="417D0085"/>
    <w:rsid w:val="419C0A47"/>
    <w:rsid w:val="41B403BD"/>
    <w:rsid w:val="41D53BEF"/>
    <w:rsid w:val="424B6B6B"/>
    <w:rsid w:val="43AE5DEC"/>
    <w:rsid w:val="440920A4"/>
    <w:rsid w:val="444D1B5A"/>
    <w:rsid w:val="44815A24"/>
    <w:rsid w:val="448E307C"/>
    <w:rsid w:val="44CA3141"/>
    <w:rsid w:val="45126C7B"/>
    <w:rsid w:val="452F5B3A"/>
    <w:rsid w:val="45AC19CC"/>
    <w:rsid w:val="469B0FAE"/>
    <w:rsid w:val="469D3256"/>
    <w:rsid w:val="46BC5339"/>
    <w:rsid w:val="46FC361D"/>
    <w:rsid w:val="47064679"/>
    <w:rsid w:val="472B7515"/>
    <w:rsid w:val="47A30F33"/>
    <w:rsid w:val="47A45339"/>
    <w:rsid w:val="47B40579"/>
    <w:rsid w:val="4876582E"/>
    <w:rsid w:val="48861F15"/>
    <w:rsid w:val="488E0DCA"/>
    <w:rsid w:val="4A0775F6"/>
    <w:rsid w:val="4A7B712C"/>
    <w:rsid w:val="4A8E1084"/>
    <w:rsid w:val="4AB16FF2"/>
    <w:rsid w:val="4BCD6EC5"/>
    <w:rsid w:val="4C5F7D7C"/>
    <w:rsid w:val="4C6F2F99"/>
    <w:rsid w:val="4C8213E0"/>
    <w:rsid w:val="4C9E35A6"/>
    <w:rsid w:val="4D01480B"/>
    <w:rsid w:val="4DF67B49"/>
    <w:rsid w:val="4EB1136E"/>
    <w:rsid w:val="4F9F1B0F"/>
    <w:rsid w:val="508D59A5"/>
    <w:rsid w:val="50CC6933"/>
    <w:rsid w:val="51A258E6"/>
    <w:rsid w:val="52232583"/>
    <w:rsid w:val="5316278A"/>
    <w:rsid w:val="53441655"/>
    <w:rsid w:val="53E8064F"/>
    <w:rsid w:val="54822F53"/>
    <w:rsid w:val="54A43723"/>
    <w:rsid w:val="551E1E45"/>
    <w:rsid w:val="553D3D10"/>
    <w:rsid w:val="55910D4F"/>
    <w:rsid w:val="55CF2C55"/>
    <w:rsid w:val="55FF3307"/>
    <w:rsid w:val="56987F5E"/>
    <w:rsid w:val="56C53C05"/>
    <w:rsid w:val="572B31E3"/>
    <w:rsid w:val="57C56063"/>
    <w:rsid w:val="583B08EE"/>
    <w:rsid w:val="584B2834"/>
    <w:rsid w:val="58550FBC"/>
    <w:rsid w:val="58DE5456"/>
    <w:rsid w:val="5909461D"/>
    <w:rsid w:val="59ED0464"/>
    <w:rsid w:val="59FB2037"/>
    <w:rsid w:val="5A52270E"/>
    <w:rsid w:val="5AE4702A"/>
    <w:rsid w:val="5B157129"/>
    <w:rsid w:val="5B7F3324"/>
    <w:rsid w:val="5CD86660"/>
    <w:rsid w:val="5CF80AB0"/>
    <w:rsid w:val="5D7E7207"/>
    <w:rsid w:val="5DBA0B02"/>
    <w:rsid w:val="5E643109"/>
    <w:rsid w:val="5EDA046D"/>
    <w:rsid w:val="5EF552A7"/>
    <w:rsid w:val="600A2FD4"/>
    <w:rsid w:val="604B43B3"/>
    <w:rsid w:val="604E1113"/>
    <w:rsid w:val="61107F66"/>
    <w:rsid w:val="616E1341"/>
    <w:rsid w:val="617A5F38"/>
    <w:rsid w:val="61946FF9"/>
    <w:rsid w:val="63381C06"/>
    <w:rsid w:val="63B75221"/>
    <w:rsid w:val="64145061"/>
    <w:rsid w:val="642B2624"/>
    <w:rsid w:val="64405216"/>
    <w:rsid w:val="644F5459"/>
    <w:rsid w:val="65136487"/>
    <w:rsid w:val="65276282"/>
    <w:rsid w:val="65E93D6E"/>
    <w:rsid w:val="66496E0B"/>
    <w:rsid w:val="664C2FAF"/>
    <w:rsid w:val="668F448D"/>
    <w:rsid w:val="66926851"/>
    <w:rsid w:val="67400843"/>
    <w:rsid w:val="689F6284"/>
    <w:rsid w:val="69067EF4"/>
    <w:rsid w:val="6A3F7D1E"/>
    <w:rsid w:val="6B1F39E4"/>
    <w:rsid w:val="6BA86A8F"/>
    <w:rsid w:val="6BBF5A14"/>
    <w:rsid w:val="6C2B41EC"/>
    <w:rsid w:val="6C427652"/>
    <w:rsid w:val="6C953C26"/>
    <w:rsid w:val="6CA420BB"/>
    <w:rsid w:val="6CD53BEA"/>
    <w:rsid w:val="6D435AEA"/>
    <w:rsid w:val="6D4801C4"/>
    <w:rsid w:val="6D5E5F2E"/>
    <w:rsid w:val="6DAB5FC8"/>
    <w:rsid w:val="6E2D2770"/>
    <w:rsid w:val="702C48A1"/>
    <w:rsid w:val="70522814"/>
    <w:rsid w:val="70C525FF"/>
    <w:rsid w:val="70FE7349"/>
    <w:rsid w:val="71CD2FDE"/>
    <w:rsid w:val="7280314E"/>
    <w:rsid w:val="732E0B02"/>
    <w:rsid w:val="73944FF5"/>
    <w:rsid w:val="73F76F74"/>
    <w:rsid w:val="74632C81"/>
    <w:rsid w:val="74D3178F"/>
    <w:rsid w:val="74DA0D6F"/>
    <w:rsid w:val="751122B7"/>
    <w:rsid w:val="75790588"/>
    <w:rsid w:val="75C37A55"/>
    <w:rsid w:val="7609076F"/>
    <w:rsid w:val="76120F55"/>
    <w:rsid w:val="76E853C5"/>
    <w:rsid w:val="772C162A"/>
    <w:rsid w:val="77996CC0"/>
    <w:rsid w:val="779A2A38"/>
    <w:rsid w:val="77DB72D8"/>
    <w:rsid w:val="77F24622"/>
    <w:rsid w:val="795C0F92"/>
    <w:rsid w:val="7A3E2DED"/>
    <w:rsid w:val="7A5275FA"/>
    <w:rsid w:val="7B730BE9"/>
    <w:rsid w:val="7B9A4DB4"/>
    <w:rsid w:val="7BC046FB"/>
    <w:rsid w:val="7D0C4561"/>
    <w:rsid w:val="7DC154EC"/>
    <w:rsid w:val="7DDF73F6"/>
    <w:rsid w:val="7E755665"/>
    <w:rsid w:val="7F3E639F"/>
    <w:rsid w:val="7F4C1678"/>
    <w:rsid w:val="7F710522"/>
    <w:rsid w:val="7FB46BD5"/>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spacing w:line="413" w:lineRule="auto"/>
      <w:outlineLvl w:val="1"/>
    </w:pPr>
    <w:rPr>
      <w:rFonts w:ascii="Arial" w:hAnsi="Arial" w:eastAsia="黑体" w:cs="Times New Roman"/>
      <w:b/>
    </w:rPr>
  </w:style>
  <w:style w:type="character" w:default="1" w:styleId="13">
    <w:name w:val="Default Paragraph Font"/>
    <w:autoRedefine/>
    <w:semiHidden/>
    <w:qFormat/>
    <w:uiPriority w:val="0"/>
  </w:style>
  <w:style w:type="table" w:default="1" w:styleId="11">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Body Text Indent"/>
    <w:basedOn w:val="1"/>
    <w:next w:val="1"/>
    <w:autoRedefine/>
    <w:qFormat/>
    <w:uiPriority w:val="0"/>
    <w:pPr>
      <w:spacing w:line="460" w:lineRule="exact"/>
      <w:ind w:firstLine="480" w:firstLineChars="200"/>
      <w:jc w:val="left"/>
    </w:pPr>
    <w:rPr>
      <w:rFonts w:ascii="宋体" w:hAnsi="宋体"/>
      <w:sz w:val="24"/>
    </w:rPr>
  </w:style>
  <w:style w:type="paragraph" w:styleId="6">
    <w:name w:val="footer"/>
    <w:basedOn w:val="1"/>
    <w:autoRedefine/>
    <w:qFormat/>
    <w:uiPriority w:val="0"/>
    <w:pPr>
      <w:tabs>
        <w:tab w:val="center" w:pos="4153"/>
        <w:tab w:val="right" w:pos="8306"/>
      </w:tabs>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1"/>
    <w:autoRedefine/>
    <w:qFormat/>
    <w:uiPriority w:val="0"/>
    <w:pPr>
      <w:ind w:left="200" w:hanging="200" w:hangingChars="200"/>
    </w:pPr>
  </w:style>
  <w:style w:type="paragraph" w:styleId="9">
    <w:name w:val="Normal (Web)"/>
    <w:basedOn w:val="1"/>
    <w:autoRedefine/>
    <w:qFormat/>
    <w:uiPriority w:val="0"/>
    <w:rPr>
      <w:sz w:val="24"/>
    </w:rPr>
  </w:style>
  <w:style w:type="paragraph" w:styleId="10">
    <w:name w:val="Body Text First Indent 2"/>
    <w:basedOn w:val="5"/>
    <w:next w:val="1"/>
    <w:autoRedefine/>
    <w:qFormat/>
    <w:uiPriority w:val="0"/>
    <w:pPr>
      <w:spacing w:after="120"/>
      <w:ind w:left="420" w:leftChars="200" w:firstLine="420" w:firstLineChars="200"/>
    </w:pPr>
    <w:rPr>
      <w:kern w:val="2"/>
      <w:sz w:val="21"/>
      <w:lang w:val="en-US" w:eastAsia="zh-C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autoRedefine/>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宋体" w:hAnsi="宋体" w:eastAsia="宋体" w:cs="宋体"/>
      <w:sz w:val="20"/>
      <w:szCs w:val="20"/>
      <w:lang w:val="en-US" w:eastAsia="en-US" w:bidi="ar-SA"/>
    </w:rPr>
  </w:style>
  <w:style w:type="paragraph" w:customStyle="1" w:styleId="16">
    <w:name w:val="表一级标题"/>
    <w:basedOn w:val="1"/>
    <w:autoRedefine/>
    <w:qFormat/>
    <w:uiPriority w:val="0"/>
    <w:pPr>
      <w:spacing w:line="360" w:lineRule="auto"/>
    </w:pPr>
    <w:rPr>
      <w:rFonts w:ascii="Times New Roman" w:hAnsi="Times New Roman" w:eastAsia="黑体"/>
      <w:kern w:val="44"/>
    </w:rPr>
  </w:style>
  <w:style w:type="paragraph" w:customStyle="1" w:styleId="17">
    <w:name w:val="列出段落1"/>
    <w:basedOn w:val="1"/>
    <w:autoRedefine/>
    <w:qFormat/>
    <w:uiPriority w:val="1"/>
    <w:pPr>
      <w:ind w:left="1080" w:hanging="331"/>
    </w:pPr>
  </w:style>
  <w:style w:type="paragraph" w:customStyle="1" w:styleId="18">
    <w:name w:val="正文样式"/>
    <w:basedOn w:val="1"/>
    <w:autoRedefine/>
    <w:qFormat/>
    <w:uiPriority w:val="0"/>
    <w:pPr>
      <w:spacing w:line="360" w:lineRule="auto"/>
      <w:ind w:firstLine="480" w:firstLineChars="200"/>
    </w:pPr>
    <w:rPr>
      <w:rFonts w:ascii="宋体" w:hAnsi="宋体" w:eastAsia="宋体"/>
      <w:color w:val="000000"/>
      <w:sz w:val="24"/>
      <w:szCs w:val="24"/>
    </w:rPr>
  </w:style>
  <w:style w:type="paragraph" w:customStyle="1" w:styleId="19">
    <w:name w:val="表格字"/>
    <w:basedOn w:val="8"/>
    <w:autoRedefine/>
    <w:qFormat/>
    <w:uiPriority w:val="0"/>
    <w:pPr>
      <w:ind w:left="0" w:firstLine="0" w:firstLineChars="0"/>
      <w:jc w:val="center"/>
    </w:pPr>
  </w:style>
  <w:style w:type="paragraph" w:customStyle="1" w:styleId="20">
    <w:name w:val="Body Text First Indent 21"/>
    <w:basedOn w:val="21"/>
    <w:autoRedefine/>
    <w:qFormat/>
    <w:uiPriority w:val="0"/>
    <w:pPr>
      <w:spacing w:before="100" w:beforeAutospacing="1"/>
      <w:ind w:left="0" w:firstLine="420" w:firstLineChars="200"/>
    </w:pPr>
    <w:rPr>
      <w:rFonts w:ascii="Times New Roman" w:hAnsi="Times New Roman" w:eastAsia="仿宋_GB2312" w:cs="Times New Roman"/>
      <w:sz w:val="32"/>
      <w:szCs w:val="32"/>
    </w:rPr>
  </w:style>
  <w:style w:type="paragraph" w:customStyle="1" w:styleId="21">
    <w:name w:val="Body Text Indent1"/>
    <w:basedOn w:val="1"/>
    <w:autoRedefine/>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3927</Words>
  <Characters>4374</Characters>
  <TotalTime>0</TotalTime>
  <ScaleCrop>false</ScaleCrop>
  <LinksUpToDate>false</LinksUpToDate>
  <CharactersWithSpaces>4472</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2024-01-05T09:39:00Z</dcterms:created>
  <dc:creator>Kingsoft-PDF</dc:creator>
  <cp:lastModifiedBy>Administrator</cp:lastModifiedBy>
  <cp:lastPrinted>2024-05-14T08:56:00Z</cp:lastPrinted>
  <dcterms:modified xsi:type="dcterms:W3CDTF">2024-07-26T07:34:07Z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2024-01-05T09:39:53Z</vt:filetime>
  </property>
  <property fmtid="{D5CDD505-2E9C-101B-9397-08002B2CF9AE}" pid="4" name="UsrData">
    <vt:lpwstr>65975de798caa6001fd1ea71wl</vt:lpwstr>
  </property>
  <property fmtid="{D5CDD505-2E9C-101B-9397-08002B2CF9AE}" pid="5" name="KSOProductBuildVer">
    <vt:lpwstr>2052-12.1.0.17133</vt:lpwstr>
  </property>
  <property fmtid="{D5CDD505-2E9C-101B-9397-08002B2CF9AE}" pid="6" name="ICV">
    <vt:lpwstr>D86A2DAF53104F2D86AE0E34724CE65E_13</vt:lpwstr>
  </property>
</Properties>
</file>